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731DF">
      <w:pPr>
        <w:keepNext w:val="0"/>
        <w:keepLines w:val="0"/>
        <w:pageBreakBefore w:val="0"/>
        <w:widowControl w:val="0"/>
        <w:kinsoku/>
        <w:wordWrap/>
        <w:overflowPunct/>
        <w:topLinePunct w:val="0"/>
        <w:autoSpaceDE/>
        <w:autoSpaceDN/>
        <w:bidi w:val="0"/>
        <w:adjustRightInd/>
        <w:snapToGrid/>
        <w:spacing w:beforeLines="150" w:afterLines="150" w:line="720" w:lineRule="exact"/>
        <w:jc w:val="center"/>
        <w:textAlignment w:val="auto"/>
        <w:rPr>
          <w:rFonts w:hint="eastAsia" w:ascii="方正小标宋简体" w:hAnsi="方正小标宋简体" w:eastAsia="方正小标宋简体" w:cs="方正小标宋简体"/>
          <w:b/>
          <w:sz w:val="52"/>
          <w:szCs w:val="52"/>
        </w:rPr>
      </w:pPr>
      <w:r>
        <w:rPr>
          <w:rFonts w:hint="eastAsia" w:ascii="方正小标宋简体" w:hAnsi="方正小标宋简体" w:eastAsia="方正小标宋简体" w:cs="方正小标宋简体"/>
          <w:b/>
          <w:sz w:val="52"/>
          <w:szCs w:val="52"/>
        </w:rPr>
        <w:t>山东济钢环保新材料有限公司</w:t>
      </w:r>
    </w:p>
    <w:p w14:paraId="20A26A30">
      <w:pPr>
        <w:keepNext w:val="0"/>
        <w:keepLines w:val="0"/>
        <w:pageBreakBefore w:val="0"/>
        <w:widowControl w:val="0"/>
        <w:kinsoku/>
        <w:wordWrap/>
        <w:overflowPunct/>
        <w:topLinePunct w:val="0"/>
        <w:autoSpaceDE/>
        <w:autoSpaceDN/>
        <w:bidi w:val="0"/>
        <w:adjustRightInd/>
        <w:snapToGrid/>
        <w:spacing w:beforeLines="150" w:afterLines="150" w:line="720" w:lineRule="exact"/>
        <w:jc w:val="center"/>
        <w:textAlignment w:val="auto"/>
        <w:rPr>
          <w:rFonts w:hint="eastAsia" w:ascii="方正小标宋简体" w:hAnsi="方正小标宋简体" w:eastAsia="方正小标宋简体" w:cs="方正小标宋简体"/>
          <w:b/>
          <w:sz w:val="52"/>
          <w:szCs w:val="52"/>
        </w:rPr>
      </w:pPr>
      <w:r>
        <w:rPr>
          <w:rFonts w:hint="eastAsia" w:ascii="方正小标宋简体" w:hAnsi="方正小标宋简体" w:eastAsia="方正小标宋简体" w:cs="方正小标宋简体"/>
          <w:b/>
          <w:sz w:val="52"/>
          <w:szCs w:val="52"/>
          <w:lang w:val="en-US" w:eastAsia="zh-CN"/>
        </w:rPr>
        <w:t>2026年度</w:t>
      </w:r>
      <w:r>
        <w:rPr>
          <w:rFonts w:hint="eastAsia" w:ascii="方正小标宋简体" w:hAnsi="方正小标宋简体" w:eastAsia="方正小标宋简体" w:cs="方正小标宋简体"/>
          <w:b/>
          <w:sz w:val="52"/>
          <w:szCs w:val="52"/>
        </w:rPr>
        <w:t>安全生产诊断</w:t>
      </w:r>
      <w:r>
        <w:rPr>
          <w:rFonts w:hint="eastAsia" w:ascii="方正小标宋简体" w:hAnsi="方正小标宋简体" w:eastAsia="方正小标宋简体" w:cs="方正小标宋简体"/>
          <w:b/>
          <w:sz w:val="52"/>
          <w:szCs w:val="52"/>
          <w:lang w:val="en-US" w:eastAsia="zh-CN"/>
        </w:rPr>
        <w:t>及安全现状评价</w:t>
      </w:r>
      <w:r>
        <w:rPr>
          <w:rFonts w:hint="eastAsia" w:ascii="方正小标宋简体" w:hAnsi="方正小标宋简体" w:eastAsia="方正小标宋简体" w:cs="方正小标宋简体"/>
          <w:b/>
          <w:sz w:val="52"/>
          <w:szCs w:val="52"/>
        </w:rPr>
        <w:t>服务采购</w:t>
      </w:r>
    </w:p>
    <w:p w14:paraId="7F2E9D9D">
      <w:pPr>
        <w:spacing w:beforeLines="150" w:afterLines="150"/>
        <w:jc w:val="center"/>
        <w:rPr>
          <w:rFonts w:hint="eastAsia" w:ascii="方正小标宋简体" w:hAnsi="方正小标宋简体" w:eastAsia="方正小标宋简体" w:cs="方正小标宋简体"/>
          <w:b/>
          <w:sz w:val="52"/>
          <w:szCs w:val="52"/>
        </w:rPr>
      </w:pPr>
    </w:p>
    <w:p w14:paraId="09E91F4F">
      <w:pPr>
        <w:spacing w:line="300" w:lineRule="auto"/>
        <w:ind w:firstLine="3182" w:firstLineChars="800"/>
        <w:rPr>
          <w:rFonts w:ascii="方正小标宋简体" w:hAnsi="方正小标宋简体" w:eastAsia="方正小标宋简体" w:cs="方正小标宋简体"/>
          <w:b/>
          <w:bCs/>
          <w:w w:val="90"/>
          <w:sz w:val="44"/>
          <w:szCs w:val="44"/>
        </w:rPr>
      </w:pPr>
    </w:p>
    <w:p w14:paraId="2F27DADB">
      <w:pPr>
        <w:spacing w:line="300" w:lineRule="auto"/>
        <w:ind w:firstLine="3182" w:firstLineChars="800"/>
        <w:rPr>
          <w:rFonts w:ascii="方正小标宋简体" w:hAnsi="方正小标宋简体" w:eastAsia="方正小标宋简体" w:cs="方正小标宋简体"/>
          <w:b/>
          <w:bCs/>
          <w:w w:val="90"/>
          <w:sz w:val="44"/>
          <w:szCs w:val="44"/>
        </w:rPr>
      </w:pPr>
    </w:p>
    <w:p w14:paraId="6D15357D">
      <w:pPr>
        <w:spacing w:beforeLines="150" w:afterLines="150"/>
        <w:jc w:val="center"/>
        <w:rPr>
          <w:rFonts w:ascii="方正小标宋简体" w:hAnsi="方正小标宋简体" w:eastAsia="方正小标宋简体" w:cs="方正小标宋简体"/>
          <w:b/>
          <w:sz w:val="52"/>
          <w:szCs w:val="52"/>
        </w:rPr>
      </w:pPr>
      <w:r>
        <w:rPr>
          <w:rFonts w:hint="eastAsia" w:ascii="方正小标宋简体" w:hAnsi="方正小标宋简体" w:eastAsia="方正小标宋简体" w:cs="方正小标宋简体"/>
          <w:b/>
          <w:sz w:val="52"/>
          <w:szCs w:val="52"/>
        </w:rPr>
        <w:t>竞争性谈判文件</w:t>
      </w:r>
    </w:p>
    <w:p w14:paraId="103CD3B3">
      <w:pPr>
        <w:spacing w:line="300" w:lineRule="auto"/>
        <w:jc w:val="center"/>
        <w:rPr>
          <w:rFonts w:ascii="方正小标宋简体" w:hAnsi="方正小标宋简体" w:eastAsia="方正小标宋简体" w:cs="方正小标宋简体"/>
          <w:b/>
          <w:bCs/>
          <w:w w:val="90"/>
          <w:sz w:val="44"/>
          <w:szCs w:val="44"/>
        </w:rPr>
      </w:pPr>
    </w:p>
    <w:p w14:paraId="51A15D45">
      <w:pPr>
        <w:spacing w:line="300" w:lineRule="auto"/>
        <w:ind w:firstLine="6401" w:firstLineChars="1449"/>
        <w:rPr>
          <w:rFonts w:ascii="方正小标宋简体" w:hAnsi="方正小标宋简体" w:eastAsia="方正小标宋简体" w:cs="方正小标宋简体"/>
          <w:b/>
          <w:sz w:val="44"/>
          <w:szCs w:val="44"/>
        </w:rPr>
      </w:pPr>
    </w:p>
    <w:p w14:paraId="03332AD6">
      <w:pPr>
        <w:spacing w:line="300" w:lineRule="auto"/>
        <w:ind w:firstLine="5288" w:firstLineChars="1646"/>
        <w:rPr>
          <w:rFonts w:ascii="方正小标宋简体" w:hAnsi="方正小标宋简体" w:eastAsia="方正小标宋简体" w:cs="方正小标宋简体"/>
          <w:b/>
          <w:sz w:val="32"/>
          <w:szCs w:val="32"/>
          <w:u w:val="single"/>
        </w:rPr>
      </w:pPr>
    </w:p>
    <w:p w14:paraId="05468150">
      <w:pPr>
        <w:tabs>
          <w:tab w:val="left" w:pos="1134"/>
          <w:tab w:val="left" w:pos="5481"/>
          <w:tab w:val="left" w:pos="5859"/>
        </w:tabs>
        <w:spacing w:line="300" w:lineRule="auto"/>
        <w:rPr>
          <w:rFonts w:ascii="方正小标宋简体" w:hAnsi="方正小标宋简体" w:eastAsia="方正小标宋简体" w:cs="方正小标宋简体"/>
          <w:b/>
          <w:sz w:val="28"/>
          <w:szCs w:val="28"/>
        </w:rPr>
      </w:pPr>
    </w:p>
    <w:p w14:paraId="26096A1D">
      <w:pPr>
        <w:tabs>
          <w:tab w:val="left" w:pos="1134"/>
          <w:tab w:val="left" w:pos="5481"/>
          <w:tab w:val="left" w:pos="5859"/>
        </w:tabs>
        <w:spacing w:line="300" w:lineRule="auto"/>
        <w:rPr>
          <w:rFonts w:ascii="方正小标宋简体" w:hAnsi="方正小标宋简体" w:eastAsia="方正小标宋简体" w:cs="方正小标宋简体"/>
          <w:b/>
          <w:sz w:val="28"/>
          <w:szCs w:val="28"/>
        </w:rPr>
      </w:pPr>
    </w:p>
    <w:p w14:paraId="572422D3">
      <w:pPr>
        <w:spacing w:line="300" w:lineRule="auto"/>
        <w:ind w:firstLine="560" w:firstLineChars="200"/>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28"/>
          <w:szCs w:val="28"/>
        </w:rPr>
        <w:t xml:space="preserve">   </w:t>
      </w:r>
      <w:r>
        <w:rPr>
          <w:rFonts w:hint="eastAsia" w:ascii="方正小标宋简体" w:hAnsi="方正小标宋简体" w:eastAsia="方正小标宋简体" w:cs="方正小标宋简体"/>
          <w:bCs/>
          <w:sz w:val="32"/>
          <w:szCs w:val="32"/>
        </w:rPr>
        <w:t xml:space="preserve">    采购人：山东济钢环保新材料有限公司 </w:t>
      </w:r>
    </w:p>
    <w:p w14:paraId="2DFD3CA5">
      <w:pPr>
        <w:pStyle w:val="44"/>
        <w:spacing w:line="300" w:lineRule="auto"/>
        <w:jc w:val="center"/>
        <w:rPr>
          <w:rFonts w:ascii="方正小标宋简体" w:hAnsi="方正小标宋简体" w:eastAsia="方正小标宋简体" w:cs="方正小标宋简体"/>
          <w:bCs/>
          <w:spacing w:val="28"/>
          <w:sz w:val="32"/>
          <w:szCs w:val="32"/>
        </w:rPr>
      </w:pPr>
      <w:r>
        <w:rPr>
          <w:rFonts w:hint="eastAsia" w:ascii="方正小标宋简体" w:hAnsi="方正小标宋简体" w:eastAsia="方正小标宋简体" w:cs="方正小标宋简体"/>
          <w:bCs/>
          <w:spacing w:val="28"/>
          <w:sz w:val="32"/>
          <w:szCs w:val="32"/>
        </w:rPr>
        <w:t>202</w:t>
      </w:r>
      <w:r>
        <w:rPr>
          <w:rFonts w:hint="eastAsia" w:ascii="方正小标宋简体" w:hAnsi="方正小标宋简体" w:eastAsia="方正小标宋简体" w:cs="方正小标宋简体"/>
          <w:bCs/>
          <w:spacing w:val="28"/>
          <w:sz w:val="32"/>
          <w:szCs w:val="32"/>
          <w:lang w:val="en-US" w:eastAsia="zh-CN"/>
        </w:rPr>
        <w:t>6</w:t>
      </w:r>
      <w:r>
        <w:rPr>
          <w:rFonts w:hint="eastAsia" w:ascii="方正小标宋简体" w:hAnsi="方正小标宋简体" w:eastAsia="方正小标宋简体" w:cs="方正小标宋简体"/>
          <w:bCs/>
          <w:spacing w:val="28"/>
          <w:sz w:val="32"/>
          <w:szCs w:val="32"/>
        </w:rPr>
        <w:t>年</w:t>
      </w:r>
      <w:r>
        <w:rPr>
          <w:rFonts w:hint="eastAsia" w:ascii="方正小标宋简体" w:hAnsi="方正小标宋简体" w:eastAsia="方正小标宋简体" w:cs="方正小标宋简体"/>
          <w:bCs/>
          <w:spacing w:val="28"/>
          <w:sz w:val="32"/>
          <w:szCs w:val="32"/>
          <w:lang w:val="en-US" w:eastAsia="zh-CN"/>
        </w:rPr>
        <w:t>3</w:t>
      </w:r>
      <w:r>
        <w:rPr>
          <w:rFonts w:hint="eastAsia" w:ascii="方正小标宋简体" w:hAnsi="方正小标宋简体" w:eastAsia="方正小标宋简体" w:cs="方正小标宋简体"/>
          <w:bCs/>
          <w:spacing w:val="28"/>
          <w:sz w:val="32"/>
          <w:szCs w:val="32"/>
        </w:rPr>
        <w:t>月</w:t>
      </w:r>
      <w:r>
        <w:rPr>
          <w:rFonts w:hint="eastAsia" w:ascii="方正小标宋简体" w:hAnsi="方正小标宋简体" w:eastAsia="方正小标宋简体" w:cs="方正小标宋简体"/>
          <w:bCs/>
          <w:spacing w:val="28"/>
          <w:sz w:val="32"/>
          <w:szCs w:val="32"/>
          <w:lang w:val="en-US" w:eastAsia="zh-CN"/>
        </w:rPr>
        <w:t>4</w:t>
      </w:r>
      <w:r>
        <w:rPr>
          <w:rFonts w:hint="eastAsia" w:ascii="方正小标宋简体" w:hAnsi="方正小标宋简体" w:eastAsia="方正小标宋简体" w:cs="方正小标宋简体"/>
          <w:bCs/>
          <w:spacing w:val="28"/>
          <w:sz w:val="32"/>
          <w:szCs w:val="32"/>
        </w:rPr>
        <w:t>日</w:t>
      </w:r>
    </w:p>
    <w:p w14:paraId="4989C78C">
      <w:pPr>
        <w:spacing w:line="300" w:lineRule="auto"/>
        <w:rPr>
          <w:rFonts w:ascii="方正小标宋简体" w:hAnsi="方正小标宋简体" w:eastAsia="方正小标宋简体" w:cs="方正小标宋简体"/>
          <w:bCs/>
          <w:sz w:val="28"/>
          <w:szCs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0EA2413D">
      <w:pPr>
        <w:spacing w:line="300" w:lineRule="auto"/>
        <w:jc w:val="center"/>
        <w:rPr>
          <w:rFonts w:ascii="黑体" w:hAnsi="黑体" w:eastAsia="黑体"/>
          <w:b/>
          <w:sz w:val="36"/>
          <w:szCs w:val="36"/>
        </w:rPr>
      </w:pPr>
    </w:p>
    <w:p w14:paraId="757697DD">
      <w:pPr>
        <w:spacing w:line="300" w:lineRule="auto"/>
        <w:jc w:val="center"/>
        <w:rPr>
          <w:rFonts w:ascii="黑体" w:hAnsi="黑体" w:eastAsia="黑体"/>
          <w:b/>
          <w:sz w:val="36"/>
          <w:szCs w:val="36"/>
        </w:rPr>
      </w:pPr>
      <w:r>
        <w:rPr>
          <w:rFonts w:hint="eastAsia" w:ascii="黑体" w:hAnsi="黑体" w:eastAsia="黑体"/>
          <w:b/>
          <w:sz w:val="36"/>
          <w:szCs w:val="36"/>
        </w:rPr>
        <w:t>第一章</w:t>
      </w:r>
      <w:r>
        <w:rPr>
          <w:rFonts w:ascii="黑体" w:hAnsi="黑体" w:eastAsia="黑体"/>
          <w:b/>
          <w:sz w:val="36"/>
          <w:szCs w:val="36"/>
        </w:rPr>
        <w:t xml:space="preserve"> </w:t>
      </w:r>
      <w:bookmarkStart w:id="0" w:name="_Toc446434284"/>
      <w:bookmarkEnd w:id="0"/>
      <w:r>
        <w:rPr>
          <w:rFonts w:hint="eastAsia" w:ascii="黑体" w:hAnsi="黑体" w:eastAsia="黑体"/>
          <w:b/>
          <w:sz w:val="36"/>
          <w:szCs w:val="36"/>
        </w:rPr>
        <w:t xml:space="preserve">  竞争性谈判公告</w:t>
      </w:r>
    </w:p>
    <w:p w14:paraId="5D66E2AC">
      <w:pPr>
        <w:spacing w:line="401" w:lineRule="auto"/>
        <w:ind w:firstLine="482" w:firstLineChars="200"/>
        <w:jc w:val="left"/>
        <w:rPr>
          <w:rFonts w:ascii="宋体" w:hAnsi="宋体" w:cs="宋体"/>
          <w:b/>
          <w:bCs/>
          <w:sz w:val="24"/>
        </w:rPr>
      </w:pPr>
      <w:r>
        <w:rPr>
          <w:rFonts w:hint="eastAsia" w:ascii="宋体" w:hAnsi="宋体" w:cs="宋体"/>
          <w:b/>
          <w:bCs/>
          <w:sz w:val="24"/>
        </w:rPr>
        <w:t xml:space="preserve">一、项目编号： 1173260304001 </w:t>
      </w:r>
      <w:bookmarkStart w:id="237" w:name="_GoBack"/>
      <w:bookmarkEnd w:id="237"/>
    </w:p>
    <w:p w14:paraId="41F3E0EB">
      <w:pPr>
        <w:spacing w:line="401" w:lineRule="auto"/>
        <w:ind w:firstLine="482" w:firstLineChars="200"/>
        <w:jc w:val="left"/>
        <w:rPr>
          <w:rFonts w:hint="eastAsia" w:ascii="宋体" w:hAnsi="宋体" w:eastAsia="宋体" w:cs="宋体"/>
          <w:sz w:val="24"/>
        </w:rPr>
      </w:pPr>
      <w:r>
        <w:rPr>
          <w:rFonts w:hint="eastAsia" w:ascii="宋体" w:hAnsi="宋体" w:cs="宋体"/>
          <w:b/>
          <w:bCs/>
          <w:sz w:val="24"/>
        </w:rPr>
        <w:t>二、项目名称：</w:t>
      </w:r>
      <w:r>
        <w:rPr>
          <w:rFonts w:hint="eastAsia" w:ascii="宋体" w:hAnsi="宋体" w:cs="宋体"/>
          <w:bCs/>
          <w:sz w:val="24"/>
        </w:rPr>
        <w:t>山东</w:t>
      </w:r>
      <w:r>
        <w:rPr>
          <w:rFonts w:hint="eastAsia" w:ascii="宋体" w:hAnsi="宋体" w:cs="宋体"/>
          <w:sz w:val="24"/>
        </w:rPr>
        <w:t>济钢环保新材料有限公司</w:t>
      </w:r>
      <w:r>
        <w:rPr>
          <w:rFonts w:hint="eastAsia" w:ascii="宋体" w:hAnsi="宋体" w:eastAsia="宋体" w:cs="宋体"/>
          <w:sz w:val="24"/>
          <w:lang w:val="en-US" w:eastAsia="zh-CN"/>
        </w:rPr>
        <w:t>2026年度</w:t>
      </w:r>
      <w:r>
        <w:rPr>
          <w:rFonts w:hint="eastAsia" w:ascii="宋体" w:hAnsi="宋体" w:eastAsia="宋体" w:cs="宋体"/>
          <w:sz w:val="24"/>
        </w:rPr>
        <w:t>安全生产诊断</w:t>
      </w:r>
      <w:r>
        <w:rPr>
          <w:rFonts w:hint="eastAsia" w:ascii="宋体" w:hAnsi="宋体" w:eastAsia="宋体" w:cs="宋体"/>
          <w:sz w:val="24"/>
          <w:lang w:val="en-US" w:eastAsia="zh-CN"/>
        </w:rPr>
        <w:t>及安全现状评价</w:t>
      </w:r>
      <w:r>
        <w:rPr>
          <w:rFonts w:hint="eastAsia" w:ascii="宋体" w:hAnsi="宋体" w:eastAsia="宋体" w:cs="宋体"/>
          <w:sz w:val="24"/>
        </w:rPr>
        <w:t>服务。</w:t>
      </w:r>
    </w:p>
    <w:p w14:paraId="11DF2292">
      <w:pPr>
        <w:spacing w:line="401" w:lineRule="auto"/>
        <w:ind w:firstLine="482" w:firstLineChars="200"/>
        <w:jc w:val="left"/>
        <w:rPr>
          <w:rFonts w:ascii="宋体" w:hAnsi="宋体" w:cs="宋体"/>
          <w:b/>
          <w:bCs/>
          <w:sz w:val="24"/>
        </w:rPr>
      </w:pPr>
      <w:r>
        <w:rPr>
          <w:rFonts w:hint="eastAsia" w:ascii="宋体" w:hAnsi="宋体" w:cs="宋体"/>
          <w:b/>
          <w:bCs/>
          <w:sz w:val="24"/>
        </w:rPr>
        <w:t>三、项目概况：</w:t>
      </w:r>
    </w:p>
    <w:p w14:paraId="3A570844">
      <w:pPr>
        <w:spacing w:line="400" w:lineRule="auto"/>
        <w:ind w:firstLine="360" w:firstLineChars="150"/>
        <w:jc w:val="left"/>
        <w:rPr>
          <w:rFonts w:ascii="宋体" w:hAnsi="宋体" w:cs="宋体"/>
          <w:sz w:val="24"/>
        </w:rPr>
      </w:pPr>
      <w:r>
        <w:rPr>
          <w:rFonts w:hint="eastAsia" w:ascii="宋体" w:hAnsi="宋体" w:cs="宋体"/>
          <w:sz w:val="24"/>
        </w:rPr>
        <w:t>1、项目基本情况：</w:t>
      </w:r>
    </w:p>
    <w:p w14:paraId="6B62D03A">
      <w:pPr>
        <w:spacing w:line="400" w:lineRule="auto"/>
        <w:ind w:firstLine="360" w:firstLineChars="150"/>
        <w:jc w:val="left"/>
        <w:rPr>
          <w:rFonts w:hint="eastAsia" w:ascii="宋体" w:hAnsi="宋体" w:eastAsia="宋体" w:cs="宋体"/>
          <w:sz w:val="24"/>
          <w:lang w:val="en-US" w:eastAsia="zh-CN"/>
        </w:rPr>
      </w:pPr>
      <w:r>
        <w:rPr>
          <w:rFonts w:hint="eastAsia" w:ascii="宋体" w:hAnsi="宋体" w:eastAsia="宋体" w:cs="宋体"/>
          <w:sz w:val="24"/>
          <w:lang w:val="en-US" w:eastAsia="zh-CN"/>
        </w:rPr>
        <w:t>根据政府文件要求，</w:t>
      </w:r>
      <w:r>
        <w:rPr>
          <w:rFonts w:hint="eastAsia" w:ascii="宋体" w:hAnsi="宋体" w:eastAsia="宋体" w:cs="宋体"/>
          <w:sz w:val="24"/>
        </w:rPr>
        <w:t>高危</w:t>
      </w:r>
      <w:r>
        <w:rPr>
          <w:rFonts w:hint="eastAsia" w:ascii="宋体" w:hAnsi="宋体" w:eastAsia="宋体" w:cs="宋体"/>
          <w:sz w:val="24"/>
          <w:lang w:val="en-US" w:eastAsia="zh-CN"/>
        </w:rPr>
        <w:t>企业</w:t>
      </w:r>
      <w:r>
        <w:rPr>
          <w:rFonts w:hint="eastAsia" w:ascii="宋体" w:hAnsi="宋体" w:eastAsia="宋体" w:cs="宋体"/>
          <w:sz w:val="24"/>
        </w:rPr>
        <w:t>需聘请具有法定资质和能力的第三方服务机构，每半年对企业</w:t>
      </w:r>
      <w:r>
        <w:rPr>
          <w:rFonts w:hint="eastAsia" w:ascii="宋体" w:hAnsi="宋体" w:eastAsia="宋体" w:cs="宋体"/>
          <w:sz w:val="24"/>
          <w:lang w:val="en-US" w:eastAsia="zh-CN"/>
        </w:rPr>
        <w:t>安全生产管理</w:t>
      </w:r>
      <w:r>
        <w:rPr>
          <w:rFonts w:hint="eastAsia" w:ascii="宋体" w:hAnsi="宋体" w:eastAsia="宋体" w:cs="宋体"/>
          <w:sz w:val="24"/>
        </w:rPr>
        <w:t>、</w:t>
      </w:r>
      <w:r>
        <w:rPr>
          <w:rFonts w:hint="default" w:ascii="宋体" w:hAnsi="宋体" w:eastAsia="宋体" w:cs="宋体"/>
          <w:sz w:val="24"/>
          <w:lang w:val="en-US" w:eastAsia="zh-CN"/>
        </w:rPr>
        <w:t>从业人员安全素质</w:t>
      </w:r>
      <w:r>
        <w:rPr>
          <w:rFonts w:hint="eastAsia" w:ascii="宋体" w:hAnsi="宋体" w:eastAsia="宋体" w:cs="宋体"/>
          <w:sz w:val="24"/>
          <w:lang w:eastAsia="zh-CN"/>
        </w:rPr>
        <w:t>、</w:t>
      </w:r>
      <w:r>
        <w:rPr>
          <w:rFonts w:hint="default" w:ascii="宋体" w:hAnsi="宋体" w:eastAsia="宋体" w:cs="宋体"/>
          <w:sz w:val="24"/>
          <w:lang w:val="en-US" w:eastAsia="zh-CN"/>
        </w:rPr>
        <w:t>安全风险管控和隐患排查治理</w:t>
      </w:r>
      <w:r>
        <w:rPr>
          <w:rFonts w:hint="eastAsia" w:ascii="宋体" w:hAnsi="宋体" w:eastAsia="宋体" w:cs="宋体"/>
          <w:sz w:val="24"/>
        </w:rPr>
        <w:t>等</w:t>
      </w:r>
      <w:r>
        <w:rPr>
          <w:rFonts w:hint="eastAsia" w:ascii="宋体" w:hAnsi="宋体" w:eastAsia="宋体" w:cs="宋体"/>
          <w:sz w:val="24"/>
          <w:lang w:val="en-US" w:eastAsia="zh-CN"/>
        </w:rPr>
        <w:t>九项通用部分以及《治本攻坚三年行动相关要求落实情况》、《工作任务清单》、《山东省非煤矿山安全生产治本攻坚三年行动量化清单》（三张清单）的落实情况等露天矿山专项检查内容</w:t>
      </w:r>
      <w:r>
        <w:rPr>
          <w:rFonts w:hint="eastAsia" w:ascii="宋体" w:hAnsi="宋体" w:eastAsia="宋体" w:cs="宋体"/>
          <w:sz w:val="24"/>
        </w:rPr>
        <w:t>进行一次全面诊断，出具诊断报告，指出存在问题，提出治理措施及建议，频次为每年2次</w:t>
      </w:r>
      <w:r>
        <w:rPr>
          <w:rFonts w:hint="eastAsia" w:ascii="宋体" w:hAnsi="宋体" w:cs="宋体"/>
          <w:sz w:val="24"/>
          <w:lang w:eastAsia="zh-CN"/>
        </w:rPr>
        <w:t>（</w:t>
      </w:r>
      <w:r>
        <w:rPr>
          <w:rFonts w:hint="eastAsia" w:ascii="宋体" w:hAnsi="宋体" w:cs="宋体"/>
          <w:color w:val="000000"/>
          <w:kern w:val="0"/>
          <w:sz w:val="24"/>
        </w:rPr>
        <w:t>分别于</w:t>
      </w:r>
      <w:r>
        <w:rPr>
          <w:rFonts w:ascii="宋体" w:hAnsi="宋体" w:cs="宋体"/>
          <w:color w:val="000000"/>
          <w:kern w:val="0"/>
          <w:sz w:val="24"/>
        </w:rPr>
        <w:t>20</w:t>
      </w:r>
      <w:r>
        <w:rPr>
          <w:rFonts w:hint="eastAsia" w:ascii="宋体" w:hAnsi="宋体" w:cs="宋体"/>
          <w:color w:val="000000"/>
          <w:kern w:val="0"/>
          <w:sz w:val="24"/>
          <w:lang w:val="en-US" w:eastAsia="zh-CN"/>
        </w:rPr>
        <w:t>26</w:t>
      </w:r>
      <w:r>
        <w:rPr>
          <w:rFonts w:hint="eastAsia" w:ascii="宋体" w:hAnsi="宋体" w:cs="宋体"/>
          <w:color w:val="000000"/>
          <w:kern w:val="0"/>
          <w:sz w:val="24"/>
        </w:rPr>
        <w:t>年</w:t>
      </w:r>
      <w:r>
        <w:rPr>
          <w:rFonts w:hint="eastAsia" w:ascii="宋体" w:hAnsi="宋体" w:cs="宋体"/>
          <w:color w:val="000000"/>
          <w:kern w:val="0"/>
          <w:sz w:val="24"/>
          <w:lang w:val="en-US" w:eastAsia="zh-CN"/>
        </w:rPr>
        <w:t>3</w:t>
      </w:r>
      <w:r>
        <w:rPr>
          <w:rFonts w:hint="eastAsia" w:ascii="宋体" w:hAnsi="宋体" w:cs="宋体"/>
          <w:color w:val="000000"/>
          <w:kern w:val="0"/>
          <w:sz w:val="24"/>
        </w:rPr>
        <w:t>月底前及2</w:t>
      </w:r>
      <w:r>
        <w:rPr>
          <w:rFonts w:ascii="宋体" w:hAnsi="宋体" w:cs="宋体"/>
          <w:color w:val="000000"/>
          <w:kern w:val="0"/>
          <w:sz w:val="24"/>
          <w:highlight w:val="none"/>
        </w:rPr>
        <w:t>02</w:t>
      </w:r>
      <w:r>
        <w:rPr>
          <w:rFonts w:hint="eastAsia" w:ascii="宋体" w:hAnsi="宋体" w:cs="宋体"/>
          <w:color w:val="000000"/>
          <w:kern w:val="0"/>
          <w:sz w:val="24"/>
          <w:highlight w:val="none"/>
          <w:lang w:val="en-US" w:eastAsia="zh-CN"/>
        </w:rPr>
        <w:t>6</w:t>
      </w:r>
      <w:r>
        <w:rPr>
          <w:rFonts w:hint="eastAsia" w:ascii="宋体" w:hAnsi="宋体" w:cs="宋体"/>
          <w:color w:val="000000"/>
          <w:kern w:val="0"/>
          <w:sz w:val="24"/>
          <w:highlight w:val="none"/>
        </w:rPr>
        <w:t>年</w:t>
      </w:r>
      <w:r>
        <w:rPr>
          <w:rFonts w:hint="eastAsia" w:ascii="宋体" w:hAnsi="宋体" w:cs="宋体"/>
          <w:color w:val="000000"/>
          <w:kern w:val="0"/>
          <w:sz w:val="24"/>
          <w:highlight w:val="none"/>
          <w:lang w:val="en-US" w:eastAsia="zh-CN"/>
        </w:rPr>
        <w:t>10月底前</w:t>
      </w:r>
      <w:r>
        <w:rPr>
          <w:rFonts w:hint="eastAsia" w:ascii="宋体" w:hAnsi="宋体" w:cs="宋体"/>
          <w:sz w:val="24"/>
          <w:lang w:eastAsia="zh-CN"/>
        </w:rPr>
        <w:t>）；</w:t>
      </w:r>
      <w:r>
        <w:rPr>
          <w:rFonts w:hint="eastAsia" w:ascii="宋体" w:hAnsi="宋体" w:eastAsia="宋体" w:cs="宋体"/>
          <w:sz w:val="24"/>
          <w:lang w:val="en-US" w:eastAsia="zh-CN"/>
        </w:rPr>
        <w:t>同时我公司面临下半年申请办理安全生产许可证延期换证等工作，换证前需要委托第三方安全服务机构进行现状评价。评价矿山开采的辅助设施、安全设施及安全管理与《安全设施设计》及现行安全生产法律、法规、规章、规范性文件和标准的符合性及其有效性。</w:t>
      </w:r>
    </w:p>
    <w:p w14:paraId="19D423F5">
      <w:pPr>
        <w:spacing w:line="400" w:lineRule="auto"/>
        <w:ind w:firstLine="360" w:firstLineChars="150"/>
        <w:jc w:val="left"/>
        <w:rPr>
          <w:rFonts w:ascii="宋体" w:hAnsi="宋体" w:cs="宋体"/>
          <w:sz w:val="24"/>
        </w:rPr>
      </w:pPr>
      <w:r>
        <w:rPr>
          <w:rFonts w:hint="eastAsia" w:ascii="宋体" w:hAnsi="宋体" w:cs="宋体"/>
          <w:sz w:val="24"/>
        </w:rPr>
        <w:t>2、采购内容及服务期限：</w:t>
      </w:r>
    </w:p>
    <w:p w14:paraId="1A62E024">
      <w:pPr>
        <w:spacing w:line="400" w:lineRule="auto"/>
        <w:ind w:firstLine="360" w:firstLineChars="150"/>
        <w:jc w:val="left"/>
        <w:rPr>
          <w:rFonts w:hint="eastAsia" w:ascii="宋体" w:hAnsi="宋体" w:eastAsia="宋体" w:cs="宋体"/>
          <w:sz w:val="24"/>
          <w:lang w:val="en-US" w:eastAsia="zh-CN"/>
        </w:rPr>
      </w:pPr>
      <w:r>
        <w:rPr>
          <w:rFonts w:hint="eastAsia" w:ascii="宋体" w:hAnsi="宋体" w:eastAsia="宋体" w:cs="宋体"/>
          <w:sz w:val="24"/>
          <w:lang w:val="en-US" w:eastAsia="zh-CN"/>
        </w:rPr>
        <w:t>采购内容：组织开展2026年度两次安全生产诊断以及安全现状评价服务（含专家评审费），并负责参加安全现状评价现场评审工作，按照评审专家意见对评价报告组织修改；报告修改合格后交由我公司，报送至政府应急管理主管部门。</w:t>
      </w:r>
    </w:p>
    <w:p w14:paraId="36B9416C">
      <w:pPr>
        <w:spacing w:line="400" w:lineRule="auto"/>
        <w:ind w:firstLine="360" w:firstLineChars="150"/>
        <w:jc w:val="left"/>
        <w:rPr>
          <w:rFonts w:ascii="宋体" w:hAnsi="宋体" w:cs="宋体"/>
          <w:sz w:val="24"/>
        </w:rPr>
      </w:pPr>
      <w:r>
        <w:rPr>
          <w:rFonts w:hint="eastAsia" w:ascii="宋体" w:hAnsi="宋体" w:cs="宋体"/>
          <w:sz w:val="24"/>
        </w:rPr>
        <w:t>服务期限：自合同生效之日起至</w:t>
      </w:r>
      <w:r>
        <w:rPr>
          <w:rFonts w:hint="eastAsia" w:ascii="宋体" w:hAnsi="宋体" w:cs="宋体"/>
          <w:sz w:val="24"/>
          <w:lang w:val="en-US" w:eastAsia="zh-CN"/>
        </w:rPr>
        <w:t>办理完成</w:t>
      </w:r>
      <w:r>
        <w:rPr>
          <w:rFonts w:hint="eastAsia" w:ascii="宋体" w:hAnsi="宋体" w:cs="宋体"/>
          <w:sz w:val="24"/>
        </w:rPr>
        <w:t>安全生产许可证</w:t>
      </w:r>
      <w:r>
        <w:rPr>
          <w:rFonts w:hint="eastAsia" w:ascii="宋体" w:hAnsi="宋体" w:cs="宋体"/>
          <w:sz w:val="24"/>
          <w:lang w:val="en-US" w:eastAsia="zh-CN"/>
        </w:rPr>
        <w:t>延期</w:t>
      </w:r>
      <w:r>
        <w:rPr>
          <w:rFonts w:hint="eastAsia" w:ascii="宋体" w:hAnsi="宋体" w:cs="宋体"/>
          <w:sz w:val="24"/>
        </w:rPr>
        <w:t>。</w:t>
      </w:r>
    </w:p>
    <w:p w14:paraId="35A6D066">
      <w:pPr>
        <w:spacing w:line="400" w:lineRule="auto"/>
        <w:ind w:firstLine="360" w:firstLineChars="150"/>
        <w:jc w:val="left"/>
        <w:rPr>
          <w:rFonts w:ascii="宋体" w:hAnsi="宋体" w:cs="宋体"/>
          <w:sz w:val="24"/>
        </w:rPr>
      </w:pPr>
      <w:r>
        <w:rPr>
          <w:rFonts w:hint="eastAsia" w:ascii="宋体" w:hAnsi="宋体" w:cs="宋体"/>
          <w:sz w:val="24"/>
        </w:rPr>
        <w:t>结算方式：</w:t>
      </w:r>
      <w:r>
        <w:rPr>
          <w:rFonts w:hint="eastAsia" w:ascii="宋体" w:hAnsi="宋体" w:cs="宋体"/>
          <w:bCs/>
          <w:sz w:val="24"/>
        </w:rPr>
        <w:t>供需双方签订服务合同</w:t>
      </w:r>
      <w:r>
        <w:rPr>
          <w:rFonts w:hint="eastAsia" w:ascii="宋体" w:hAnsi="宋体" w:cs="宋体"/>
          <w:sz w:val="24"/>
        </w:rPr>
        <w:t>，需方</w:t>
      </w:r>
      <w:r>
        <w:rPr>
          <w:rFonts w:hint="eastAsia" w:ascii="宋体" w:hAnsi="宋体" w:cs="宋体"/>
          <w:sz w:val="24"/>
          <w:lang w:val="en-US" w:eastAsia="zh-CN"/>
        </w:rPr>
        <w:t>完成两次安全生产诊断及安全现状评价</w:t>
      </w:r>
      <w:r>
        <w:rPr>
          <w:rFonts w:hint="eastAsia" w:ascii="宋体" w:hAnsi="宋体" w:cs="宋体"/>
          <w:sz w:val="24"/>
        </w:rPr>
        <w:t>并</w:t>
      </w:r>
      <w:r>
        <w:rPr>
          <w:rFonts w:hint="eastAsia" w:ascii="宋体" w:hAnsi="宋体" w:cs="宋体"/>
          <w:sz w:val="24"/>
          <w:lang w:val="en-US" w:eastAsia="zh-CN"/>
        </w:rPr>
        <w:t>办理完成</w:t>
      </w:r>
      <w:r>
        <w:rPr>
          <w:rFonts w:hint="eastAsia" w:ascii="宋体" w:hAnsi="宋体" w:cs="宋体"/>
          <w:sz w:val="24"/>
        </w:rPr>
        <w:t>《安全生产许可证》</w:t>
      </w:r>
      <w:r>
        <w:rPr>
          <w:rFonts w:hint="eastAsia" w:ascii="宋体" w:hAnsi="宋体" w:cs="宋体"/>
          <w:sz w:val="24"/>
          <w:lang w:val="en-US" w:eastAsia="zh-CN"/>
        </w:rPr>
        <w:t>延期</w:t>
      </w:r>
      <w:r>
        <w:rPr>
          <w:rFonts w:hint="eastAsia" w:ascii="宋体" w:hAnsi="宋体" w:cs="宋体"/>
          <w:sz w:val="24"/>
        </w:rPr>
        <w:t>后，一次性支付，付款前供方向需方开具全额增值税专用发票（税</w:t>
      </w:r>
      <w:r>
        <w:rPr>
          <w:rFonts w:hint="eastAsia" w:ascii="宋体" w:hAnsi="宋体" w:cs="宋体"/>
          <w:sz w:val="24"/>
          <w:highlight w:val="none"/>
        </w:rPr>
        <w:t>率6%），</w:t>
      </w:r>
      <w:r>
        <w:rPr>
          <w:rFonts w:hint="eastAsia" w:ascii="宋体" w:hAnsi="宋体" w:cs="宋体"/>
          <w:sz w:val="24"/>
        </w:rPr>
        <w:t>需方以电汇方式支付。</w:t>
      </w:r>
    </w:p>
    <w:p w14:paraId="2C0F2527">
      <w:pPr>
        <w:spacing w:line="400" w:lineRule="auto"/>
        <w:ind w:firstLine="360" w:firstLineChars="150"/>
        <w:jc w:val="left"/>
        <w:rPr>
          <w:rFonts w:ascii="宋体" w:hAnsi="宋体" w:cs="宋体"/>
          <w:sz w:val="24"/>
        </w:rPr>
      </w:pPr>
      <w:r>
        <w:rPr>
          <w:rFonts w:hint="eastAsia" w:ascii="宋体" w:hAnsi="宋体" w:cs="宋体"/>
          <w:sz w:val="24"/>
        </w:rPr>
        <w:t>3、规范要求：</w:t>
      </w:r>
    </w:p>
    <w:p w14:paraId="01AD3193">
      <w:pPr>
        <w:spacing w:line="400" w:lineRule="auto"/>
        <w:ind w:firstLine="360" w:firstLineChars="150"/>
        <w:jc w:val="left"/>
        <w:rPr>
          <w:rFonts w:ascii="宋体" w:hAnsi="宋体" w:cs="宋体"/>
          <w:sz w:val="24"/>
        </w:rPr>
      </w:pPr>
      <w:r>
        <w:rPr>
          <w:rFonts w:hint="eastAsia" w:ascii="宋体" w:hAnsi="宋体" w:cs="宋体"/>
          <w:sz w:val="24"/>
        </w:rPr>
        <w:t>（1）符合国家、地方现行相关质量评定标准和技术规范。</w:t>
      </w:r>
    </w:p>
    <w:p w14:paraId="696580DA">
      <w:pPr>
        <w:spacing w:line="400" w:lineRule="auto"/>
        <w:ind w:firstLine="360" w:firstLineChars="150"/>
        <w:jc w:val="left"/>
        <w:rPr>
          <w:rFonts w:ascii="宋体" w:hAnsi="宋体" w:cs="宋体"/>
          <w:sz w:val="24"/>
        </w:rPr>
      </w:pPr>
      <w:r>
        <w:rPr>
          <w:rFonts w:hint="eastAsia" w:ascii="宋体" w:hAnsi="宋体" w:cs="宋体"/>
          <w:sz w:val="24"/>
        </w:rPr>
        <w:t>（2）符合相关文件及法律法规要求。</w:t>
      </w:r>
    </w:p>
    <w:p w14:paraId="2C193D06">
      <w:pPr>
        <w:spacing w:line="400" w:lineRule="auto"/>
        <w:ind w:firstLine="360" w:firstLineChars="150"/>
        <w:jc w:val="left"/>
        <w:rPr>
          <w:rFonts w:ascii="宋体" w:hAnsi="宋体" w:cs="宋体"/>
          <w:sz w:val="24"/>
        </w:rPr>
      </w:pPr>
      <w:r>
        <w:rPr>
          <w:rFonts w:hint="eastAsia" w:ascii="宋体" w:hAnsi="宋体" w:cs="宋体"/>
          <w:sz w:val="24"/>
        </w:rPr>
        <w:t>（3）报告内容力求完整，重点突出。</w:t>
      </w:r>
    </w:p>
    <w:p w14:paraId="137C51CD">
      <w:pPr>
        <w:spacing w:line="400" w:lineRule="auto"/>
        <w:ind w:firstLine="482" w:firstLineChars="200"/>
        <w:jc w:val="left"/>
        <w:rPr>
          <w:rFonts w:ascii="宋体" w:hAnsi="宋体" w:cs="宋体"/>
          <w:b/>
          <w:sz w:val="24"/>
        </w:rPr>
      </w:pPr>
      <w:r>
        <w:rPr>
          <w:rFonts w:hint="eastAsia" w:ascii="宋体" w:hAnsi="宋体" w:cs="宋体"/>
          <w:b/>
          <w:sz w:val="24"/>
        </w:rPr>
        <w:t>四、供应商资格要求：</w:t>
      </w:r>
    </w:p>
    <w:p w14:paraId="43775764">
      <w:pPr>
        <w:spacing w:line="360" w:lineRule="auto"/>
        <w:ind w:firstLine="480" w:firstLineChars="200"/>
        <w:rPr>
          <w:sz w:val="24"/>
          <w:highlight w:val="none"/>
        </w:rPr>
      </w:pPr>
      <w:r>
        <w:rPr>
          <w:sz w:val="24"/>
        </w:rPr>
        <w:t>1</w:t>
      </w:r>
      <w:r>
        <w:rPr>
          <w:rFonts w:hint="eastAsia"/>
          <w:sz w:val="24"/>
        </w:rPr>
        <w:t>、</w:t>
      </w:r>
      <w:r>
        <w:rPr>
          <w:rFonts w:hint="eastAsia"/>
          <w:sz w:val="24"/>
          <w:highlight w:val="none"/>
        </w:rPr>
        <w:t>依法成立，具有独立法人资格；</w:t>
      </w:r>
    </w:p>
    <w:p w14:paraId="71FE5CC3">
      <w:pPr>
        <w:spacing w:line="360" w:lineRule="auto"/>
        <w:ind w:firstLine="480" w:firstLineChars="200"/>
        <w:rPr>
          <w:sz w:val="24"/>
          <w:highlight w:val="none"/>
        </w:rPr>
      </w:pPr>
      <w:r>
        <w:rPr>
          <w:rFonts w:hint="eastAsia"/>
          <w:sz w:val="24"/>
          <w:highlight w:val="none"/>
        </w:rPr>
        <w:t>2、具有履行合同必需的设备、专业技术人员（安全、采矿、地质、电气、机械专职安全评价师），需要提供专业技术人员资格证书（复印件）；</w:t>
      </w:r>
    </w:p>
    <w:p w14:paraId="4CFEA871">
      <w:pPr>
        <w:spacing w:line="360" w:lineRule="auto"/>
        <w:ind w:firstLine="480" w:firstLineChars="200"/>
        <w:rPr>
          <w:sz w:val="24"/>
          <w:highlight w:val="none"/>
        </w:rPr>
      </w:pPr>
      <w:r>
        <w:rPr>
          <w:rFonts w:hint="eastAsia"/>
          <w:sz w:val="24"/>
          <w:highlight w:val="none"/>
        </w:rPr>
        <w:t>3、具有金属非金属矿山安全评价资质，提供近三年内3个及以上</w:t>
      </w:r>
      <w:r>
        <w:rPr>
          <w:rFonts w:hint="eastAsia"/>
          <w:sz w:val="24"/>
          <w:highlight w:val="none"/>
          <w:lang w:val="en-US" w:eastAsia="zh-CN"/>
        </w:rPr>
        <w:t>安全诊断及2个及以上现状评价</w:t>
      </w:r>
      <w:r>
        <w:rPr>
          <w:rFonts w:hint="eastAsia"/>
          <w:sz w:val="24"/>
          <w:highlight w:val="none"/>
        </w:rPr>
        <w:t>服务业绩，需要提供合同及发票等相关证明材料（扫描件）；</w:t>
      </w:r>
    </w:p>
    <w:p w14:paraId="3CE5EDC2">
      <w:pPr>
        <w:spacing w:line="360" w:lineRule="auto"/>
        <w:ind w:firstLine="480" w:firstLineChars="200"/>
        <w:rPr>
          <w:sz w:val="24"/>
          <w:highlight w:val="none"/>
        </w:rPr>
      </w:pPr>
      <w:r>
        <w:rPr>
          <w:rFonts w:hint="eastAsia"/>
          <w:sz w:val="24"/>
          <w:highlight w:val="none"/>
        </w:rPr>
        <w:t>4、财务状况及经营业绩良好；</w:t>
      </w:r>
    </w:p>
    <w:p w14:paraId="66352B1E">
      <w:pPr>
        <w:spacing w:line="360" w:lineRule="auto"/>
        <w:ind w:firstLine="480" w:firstLineChars="200"/>
        <w:rPr>
          <w:sz w:val="24"/>
          <w:highlight w:val="none"/>
        </w:rPr>
      </w:pPr>
      <w:r>
        <w:rPr>
          <w:rFonts w:hint="eastAsia"/>
          <w:sz w:val="24"/>
          <w:highlight w:val="none"/>
        </w:rPr>
        <w:t>5、在本次谈判前三年（202</w:t>
      </w:r>
      <w:r>
        <w:rPr>
          <w:rFonts w:hint="eastAsia"/>
          <w:sz w:val="24"/>
          <w:highlight w:val="none"/>
          <w:lang w:val="en-US" w:eastAsia="zh-CN"/>
        </w:rPr>
        <w:t>3</w:t>
      </w:r>
      <w:r>
        <w:rPr>
          <w:rFonts w:hint="eastAsia"/>
          <w:sz w:val="24"/>
          <w:highlight w:val="none"/>
        </w:rPr>
        <w:t>-202</w:t>
      </w:r>
      <w:r>
        <w:rPr>
          <w:rFonts w:hint="eastAsia"/>
          <w:sz w:val="24"/>
          <w:highlight w:val="none"/>
          <w:lang w:val="en-US" w:eastAsia="zh-CN"/>
        </w:rPr>
        <w:t>6</w:t>
      </w:r>
      <w:r>
        <w:rPr>
          <w:rFonts w:hint="eastAsia"/>
          <w:sz w:val="24"/>
          <w:highlight w:val="none"/>
        </w:rPr>
        <w:t>年）内，应无下列不良记录：被行业主管部门通报整改、被责令停业、被暂停或取消投标资格、财产被接管或冻结、在经营活动中有重大违法违规行为；</w:t>
      </w:r>
    </w:p>
    <w:p w14:paraId="03102531">
      <w:pPr>
        <w:spacing w:line="360" w:lineRule="auto"/>
        <w:ind w:firstLine="480" w:firstLineChars="200"/>
        <w:rPr>
          <w:sz w:val="24"/>
          <w:highlight w:val="none"/>
        </w:rPr>
      </w:pPr>
      <w:r>
        <w:rPr>
          <w:rFonts w:hint="eastAsia"/>
          <w:sz w:val="24"/>
          <w:highlight w:val="none"/>
        </w:rPr>
        <w:t>6、本项目不接受联合体谈判；</w:t>
      </w:r>
    </w:p>
    <w:p w14:paraId="006AC540">
      <w:pPr>
        <w:spacing w:line="360" w:lineRule="auto"/>
        <w:ind w:firstLine="480" w:firstLineChars="200"/>
        <w:rPr>
          <w:sz w:val="24"/>
          <w:highlight w:val="none"/>
        </w:rPr>
      </w:pPr>
      <w:r>
        <w:rPr>
          <w:rFonts w:hint="eastAsia"/>
          <w:sz w:val="24"/>
          <w:highlight w:val="none"/>
        </w:rPr>
        <w:t>7、须遵守中华人民共和国有关法律、法规，无重大违法违约行为。通过“信用中国”网站（www.creditchina.gov.cn）、中国政府招标网（www.ccgp.gov.cn）查询，未被列入失信被执行人、重大税收违法案件当事人、政府招标严重违法失信行为记录名单，提供查询截屏。</w:t>
      </w:r>
    </w:p>
    <w:p w14:paraId="7BB251D5">
      <w:pPr>
        <w:spacing w:line="400" w:lineRule="auto"/>
        <w:ind w:firstLine="482" w:firstLineChars="200"/>
        <w:jc w:val="left"/>
        <w:rPr>
          <w:rFonts w:ascii="宋体" w:hAnsi="宋体" w:cs="宋体"/>
          <w:b/>
          <w:bCs/>
          <w:sz w:val="24"/>
        </w:rPr>
      </w:pPr>
      <w:r>
        <w:rPr>
          <w:rFonts w:hint="eastAsia" w:ascii="宋体" w:hAnsi="宋体" w:cs="宋体"/>
          <w:b/>
          <w:bCs/>
          <w:sz w:val="24"/>
        </w:rPr>
        <w:t>五、报名</w:t>
      </w:r>
    </w:p>
    <w:p w14:paraId="7165F285">
      <w:pPr>
        <w:spacing w:line="400" w:lineRule="auto"/>
        <w:ind w:firstLine="480" w:firstLineChars="200"/>
        <w:jc w:val="left"/>
        <w:rPr>
          <w:rFonts w:ascii="宋体" w:hAnsi="宋体" w:cs="宋体"/>
          <w:sz w:val="24"/>
        </w:rPr>
      </w:pPr>
      <w:r>
        <w:rPr>
          <w:rFonts w:hint="eastAsia" w:ascii="宋体" w:hAnsi="宋体" w:cs="宋体"/>
          <w:sz w:val="24"/>
        </w:rPr>
        <w:t>1、报名方式：通过登录济钢集团有限公司阳光购销平台网上报名，平台网址：</w:t>
      </w:r>
      <w:r>
        <w:rPr>
          <w:rFonts w:hint="eastAsia"/>
        </w:rPr>
        <w:fldChar w:fldCharType="begin"/>
      </w:r>
      <w:r>
        <w:instrText xml:space="preserve"> HYPERLINK "http://bidding.jigang.com.cn" </w:instrText>
      </w:r>
      <w:r>
        <w:rPr>
          <w:rFonts w:hint="eastAsia"/>
        </w:rPr>
        <w:fldChar w:fldCharType="separate"/>
      </w:r>
      <w:r>
        <w:rPr>
          <w:rFonts w:hint="eastAsia" w:ascii="宋体" w:hAnsi="宋体" w:cs="宋体"/>
          <w:sz w:val="24"/>
        </w:rPr>
        <w:t>http://bidding.jigang.com.cn</w:t>
      </w:r>
      <w:r>
        <w:rPr>
          <w:rFonts w:hint="eastAsia" w:ascii="宋体" w:hAnsi="宋体" w:cs="宋体"/>
          <w:sz w:val="24"/>
        </w:rPr>
        <w:fldChar w:fldCharType="end"/>
      </w:r>
      <w:r>
        <w:rPr>
          <w:rFonts w:hint="eastAsia" w:ascii="宋体" w:hAnsi="宋体" w:cs="宋体"/>
          <w:sz w:val="24"/>
        </w:rPr>
        <w:t xml:space="preserve">/； </w:t>
      </w:r>
    </w:p>
    <w:p w14:paraId="14E462D3">
      <w:pPr>
        <w:spacing w:line="400" w:lineRule="auto"/>
        <w:ind w:firstLine="480" w:firstLineChars="200"/>
        <w:jc w:val="left"/>
        <w:rPr>
          <w:rFonts w:ascii="宋体" w:hAnsi="宋体" w:cs="宋体"/>
          <w:sz w:val="24"/>
        </w:rPr>
      </w:pPr>
      <w:r>
        <w:rPr>
          <w:rFonts w:hint="eastAsia" w:ascii="宋体" w:hAnsi="宋体" w:cs="宋体"/>
          <w:sz w:val="24"/>
        </w:rPr>
        <w:t>2、公告和报名时间：202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3</w:t>
      </w:r>
      <w:r>
        <w:rPr>
          <w:rFonts w:hint="eastAsia" w:ascii="宋体" w:hAnsi="宋体" w:cs="宋体"/>
          <w:sz w:val="24"/>
        </w:rPr>
        <w:t>月</w:t>
      </w:r>
      <w:r>
        <w:rPr>
          <w:rFonts w:hint="eastAsia" w:ascii="宋体" w:hAnsi="宋体" w:cs="宋体"/>
          <w:sz w:val="24"/>
          <w:lang w:val="en-US" w:eastAsia="zh-CN"/>
        </w:rPr>
        <w:t>4</w:t>
      </w:r>
      <w:r>
        <w:rPr>
          <w:rFonts w:hint="eastAsia" w:ascii="宋体" w:hAnsi="宋体" w:cs="宋体"/>
          <w:sz w:val="24"/>
        </w:rPr>
        <w:t>日～202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3</w:t>
      </w:r>
      <w:r>
        <w:rPr>
          <w:rFonts w:hint="eastAsia" w:ascii="宋体" w:hAnsi="宋体" w:cs="宋体"/>
          <w:sz w:val="24"/>
        </w:rPr>
        <w:t>月</w:t>
      </w:r>
      <w:r>
        <w:rPr>
          <w:rFonts w:hint="eastAsia" w:ascii="宋体" w:hAnsi="宋体" w:cs="宋体"/>
          <w:sz w:val="24"/>
          <w:lang w:val="en-US" w:eastAsia="zh-CN"/>
        </w:rPr>
        <w:t>8</w:t>
      </w:r>
      <w:r>
        <w:rPr>
          <w:rFonts w:hint="eastAsia" w:ascii="宋体" w:hAnsi="宋体" w:cs="宋体"/>
          <w:sz w:val="24"/>
        </w:rPr>
        <w:t>日（北京时间）。</w:t>
      </w:r>
    </w:p>
    <w:p w14:paraId="26FFDF32">
      <w:pPr>
        <w:spacing w:line="400" w:lineRule="auto"/>
        <w:ind w:firstLine="482" w:firstLineChars="200"/>
        <w:jc w:val="left"/>
        <w:rPr>
          <w:rFonts w:ascii="宋体" w:hAnsi="宋体" w:cs="宋体"/>
          <w:b/>
          <w:bCs/>
          <w:sz w:val="24"/>
        </w:rPr>
      </w:pPr>
      <w:r>
        <w:rPr>
          <w:rFonts w:hint="eastAsia" w:ascii="宋体" w:hAnsi="宋体" w:cs="宋体"/>
          <w:b/>
          <w:bCs/>
          <w:sz w:val="24"/>
        </w:rPr>
        <w:t>六、谈判时间和方式</w:t>
      </w:r>
    </w:p>
    <w:p w14:paraId="48604695">
      <w:pPr>
        <w:spacing w:line="400" w:lineRule="auto"/>
        <w:ind w:firstLine="480" w:firstLineChars="200"/>
        <w:jc w:val="left"/>
        <w:rPr>
          <w:rFonts w:ascii="宋体" w:hAnsi="宋体" w:cs="宋体"/>
          <w:sz w:val="24"/>
          <w:highlight w:val="yellow"/>
        </w:rPr>
      </w:pPr>
      <w:r>
        <w:rPr>
          <w:rFonts w:hint="eastAsia" w:ascii="宋体" w:hAnsi="宋体" w:cs="宋体"/>
          <w:sz w:val="24"/>
        </w:rPr>
        <w:t>1、谈判时间：202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3</w:t>
      </w:r>
      <w:r>
        <w:rPr>
          <w:rFonts w:hint="eastAsia" w:ascii="宋体" w:hAnsi="宋体" w:cs="宋体"/>
          <w:sz w:val="24"/>
        </w:rPr>
        <w:t>月</w:t>
      </w:r>
      <w:r>
        <w:rPr>
          <w:rFonts w:hint="eastAsia" w:ascii="宋体" w:hAnsi="宋体" w:cs="宋体"/>
          <w:sz w:val="24"/>
          <w:lang w:val="en-US" w:eastAsia="zh-CN"/>
        </w:rPr>
        <w:t>10</w:t>
      </w:r>
      <w:r>
        <w:rPr>
          <w:rFonts w:hint="eastAsia" w:ascii="宋体" w:hAnsi="宋体" w:cs="宋体"/>
          <w:sz w:val="24"/>
        </w:rPr>
        <w:t>日</w:t>
      </w:r>
      <w:r>
        <w:rPr>
          <w:rFonts w:hint="eastAsia" w:ascii="宋体" w:hAnsi="宋体" w:cs="宋体"/>
          <w:sz w:val="24"/>
          <w:lang w:val="en-US" w:eastAsia="zh-CN"/>
        </w:rPr>
        <w:t>14点</w:t>
      </w:r>
      <w:r>
        <w:rPr>
          <w:rFonts w:hint="eastAsia" w:ascii="宋体" w:hAnsi="宋体" w:cs="宋体"/>
          <w:sz w:val="24"/>
        </w:rPr>
        <w:t>；</w:t>
      </w:r>
    </w:p>
    <w:p w14:paraId="713E019E">
      <w:pPr>
        <w:spacing w:line="400" w:lineRule="auto"/>
        <w:ind w:firstLine="480" w:firstLineChars="200"/>
        <w:jc w:val="left"/>
        <w:rPr>
          <w:rFonts w:ascii="宋体" w:hAnsi="宋体" w:cs="宋体"/>
          <w:sz w:val="24"/>
        </w:rPr>
      </w:pPr>
      <w:r>
        <w:rPr>
          <w:rFonts w:hint="eastAsia" w:ascii="宋体" w:hAnsi="宋体" w:cs="宋体"/>
          <w:sz w:val="24"/>
        </w:rPr>
        <w:t>2、谈判方式：网上谈判，谈判时无需供应商到达现场。</w:t>
      </w:r>
    </w:p>
    <w:p w14:paraId="7B688C30">
      <w:pPr>
        <w:spacing w:line="360" w:lineRule="auto"/>
        <w:ind w:firstLine="482" w:firstLineChars="200"/>
        <w:rPr>
          <w:rFonts w:ascii="宋体" w:hAnsi="宋体" w:cs="宋体"/>
          <w:b/>
          <w:bCs/>
          <w:sz w:val="24"/>
        </w:rPr>
      </w:pPr>
      <w:r>
        <w:rPr>
          <w:rFonts w:hint="eastAsia" w:ascii="宋体" w:hAnsi="宋体" w:cs="宋体"/>
          <w:b/>
          <w:bCs/>
          <w:sz w:val="24"/>
        </w:rPr>
        <w:t>七、谈判文件的获取方式</w:t>
      </w:r>
    </w:p>
    <w:p w14:paraId="397131A8">
      <w:pPr>
        <w:spacing w:line="400" w:lineRule="auto"/>
        <w:ind w:firstLine="480" w:firstLineChars="200"/>
        <w:jc w:val="left"/>
        <w:rPr>
          <w:rFonts w:ascii="宋体" w:hAnsi="宋体" w:cs="宋体"/>
          <w:sz w:val="24"/>
        </w:rPr>
      </w:pPr>
      <w:r>
        <w:rPr>
          <w:rFonts w:hint="eastAsia" w:ascii="宋体" w:hAnsi="宋体" w:cs="宋体"/>
          <w:sz w:val="24"/>
        </w:rPr>
        <w:t>1、获取方式：凡有意参加的潜在供应商，在公告期内登陆：济钢集团有限公司阳光购销平台</w:t>
      </w:r>
      <w:r>
        <w:rPr>
          <w:rFonts w:hint="eastAsia"/>
        </w:rPr>
        <w:fldChar w:fldCharType="begin"/>
      </w:r>
      <w:r>
        <w:instrText xml:space="preserve"> HYPERLINK "http://bidding.jigang.com.cn" </w:instrText>
      </w:r>
      <w:r>
        <w:rPr>
          <w:rFonts w:hint="eastAsia"/>
        </w:rPr>
        <w:fldChar w:fldCharType="separate"/>
      </w:r>
      <w:r>
        <w:rPr>
          <w:rFonts w:hint="eastAsia" w:ascii="宋体" w:hAnsi="宋体" w:cs="宋体"/>
          <w:sz w:val="24"/>
        </w:rPr>
        <w:t>http://bidding.jigang.com.cn</w:t>
      </w:r>
      <w:r>
        <w:rPr>
          <w:rFonts w:hint="eastAsia" w:ascii="宋体" w:hAnsi="宋体" w:cs="宋体"/>
          <w:sz w:val="24"/>
        </w:rPr>
        <w:fldChar w:fldCharType="end"/>
      </w:r>
      <w:r>
        <w:rPr>
          <w:rFonts w:hint="eastAsia" w:ascii="宋体" w:hAnsi="宋体" w:cs="宋体"/>
          <w:sz w:val="24"/>
        </w:rPr>
        <w:t xml:space="preserve">/ ，注册用户成功后，须修改初始密码，重新登录后报名，报名成功后即可下载谈判文件。 </w:t>
      </w:r>
    </w:p>
    <w:p w14:paraId="5AA68028">
      <w:pPr>
        <w:spacing w:line="400" w:lineRule="auto"/>
        <w:ind w:firstLine="482" w:firstLineChars="200"/>
        <w:jc w:val="left"/>
        <w:rPr>
          <w:rFonts w:ascii="宋体" w:hAnsi="宋体" w:cs="宋体"/>
          <w:sz w:val="24"/>
        </w:rPr>
      </w:pPr>
      <w:r>
        <w:rPr>
          <w:rFonts w:hint="eastAsia" w:ascii="宋体" w:hAnsi="宋体" w:cs="宋体"/>
          <w:b/>
          <w:sz w:val="24"/>
          <w:lang w:val="en-US" w:eastAsia="zh-CN"/>
        </w:rPr>
        <w:t>八</w:t>
      </w:r>
      <w:r>
        <w:rPr>
          <w:rFonts w:hint="eastAsia" w:ascii="宋体" w:hAnsi="宋体" w:cs="宋体"/>
          <w:b/>
          <w:sz w:val="24"/>
        </w:rPr>
        <w:t>、资格审查方式：资格后审</w:t>
      </w:r>
    </w:p>
    <w:p w14:paraId="1C32C112">
      <w:pPr>
        <w:spacing w:line="400" w:lineRule="auto"/>
        <w:ind w:firstLine="480" w:firstLineChars="200"/>
        <w:jc w:val="left"/>
        <w:rPr>
          <w:rFonts w:ascii="宋体" w:hAnsi="宋体" w:cs="宋体"/>
          <w:sz w:val="24"/>
        </w:rPr>
      </w:pPr>
      <w:r>
        <w:rPr>
          <w:rFonts w:hint="eastAsia" w:ascii="宋体" w:hAnsi="宋体" w:cs="宋体"/>
          <w:sz w:val="24"/>
        </w:rPr>
        <w:t>谈判时，谈判小组对参加谈判单位的资质文件进行评审。评审合格的进入谈判程序。</w:t>
      </w:r>
    </w:p>
    <w:p w14:paraId="6564EC41">
      <w:pPr>
        <w:spacing w:line="400" w:lineRule="auto"/>
        <w:ind w:firstLine="482" w:firstLineChars="200"/>
        <w:jc w:val="left"/>
        <w:rPr>
          <w:rFonts w:ascii="宋体" w:hAnsi="宋体" w:cs="宋体"/>
          <w:b/>
          <w:sz w:val="24"/>
        </w:rPr>
      </w:pPr>
      <w:r>
        <w:rPr>
          <w:rFonts w:hint="eastAsia" w:ascii="宋体" w:hAnsi="宋体" w:cs="宋体"/>
          <w:b/>
          <w:sz w:val="24"/>
          <w:lang w:val="en-US" w:eastAsia="zh-CN"/>
        </w:rPr>
        <w:t>九</w:t>
      </w:r>
      <w:r>
        <w:rPr>
          <w:rFonts w:hint="eastAsia" w:ascii="宋体" w:hAnsi="宋体" w:cs="宋体"/>
          <w:b/>
          <w:sz w:val="24"/>
        </w:rPr>
        <w:t>、采购人的名称、地址和联系人</w:t>
      </w:r>
    </w:p>
    <w:p w14:paraId="14B43CC6">
      <w:pPr>
        <w:spacing w:line="400" w:lineRule="auto"/>
        <w:ind w:firstLine="480" w:firstLineChars="200"/>
        <w:jc w:val="left"/>
        <w:rPr>
          <w:rFonts w:ascii="宋体" w:hAnsi="宋体" w:cs="宋体"/>
          <w:sz w:val="24"/>
        </w:rPr>
      </w:pPr>
      <w:r>
        <w:rPr>
          <w:rFonts w:hint="eastAsia" w:ascii="宋体" w:hAnsi="宋体" w:cs="宋体"/>
          <w:sz w:val="24"/>
        </w:rPr>
        <w:t>1、采购人的名称：山东济钢环保新材料有限公司</w:t>
      </w:r>
    </w:p>
    <w:p w14:paraId="0D053A8C">
      <w:pPr>
        <w:spacing w:line="400" w:lineRule="auto"/>
        <w:ind w:firstLine="480" w:firstLineChars="200"/>
        <w:jc w:val="left"/>
        <w:rPr>
          <w:rFonts w:ascii="宋体" w:hAnsi="宋体" w:cs="宋体"/>
          <w:sz w:val="24"/>
        </w:rPr>
      </w:pPr>
      <w:r>
        <w:rPr>
          <w:rFonts w:hint="eastAsia" w:ascii="宋体" w:hAnsi="宋体" w:cs="宋体"/>
          <w:sz w:val="24"/>
        </w:rPr>
        <w:t>2、采购人的地址：山东省济南市章丘区官庄街道青野村东</w:t>
      </w:r>
    </w:p>
    <w:p w14:paraId="75BD517D">
      <w:pPr>
        <w:spacing w:line="400" w:lineRule="auto"/>
        <w:ind w:firstLine="480" w:firstLineChars="200"/>
        <w:jc w:val="left"/>
        <w:rPr>
          <w:rFonts w:ascii="宋体" w:hAnsi="宋体" w:cs="宋体"/>
          <w:sz w:val="24"/>
        </w:rPr>
      </w:pPr>
      <w:r>
        <w:rPr>
          <w:rFonts w:hint="eastAsia" w:ascii="宋体" w:hAnsi="宋体" w:cs="宋体"/>
          <w:sz w:val="24"/>
        </w:rPr>
        <w:t>3、谈判联系人：</w:t>
      </w:r>
      <w:r>
        <w:rPr>
          <w:rFonts w:hint="eastAsia" w:ascii="宋体" w:hAnsi="宋体" w:cs="宋体"/>
          <w:sz w:val="24"/>
          <w:lang w:val="en-US" w:eastAsia="zh-CN"/>
        </w:rPr>
        <w:t>于</w:t>
      </w:r>
      <w:r>
        <w:rPr>
          <w:rFonts w:hint="eastAsia" w:ascii="宋体" w:hAnsi="宋体" w:cs="宋体"/>
          <w:sz w:val="24"/>
        </w:rPr>
        <w:t>工，联系电话：</w:t>
      </w:r>
      <w:r>
        <w:rPr>
          <w:rFonts w:hint="eastAsia" w:ascii="宋体" w:hAnsi="宋体" w:cs="宋体"/>
          <w:sz w:val="24"/>
          <w:highlight w:val="none"/>
        </w:rPr>
        <w:t>17615831790；</w:t>
      </w:r>
    </w:p>
    <w:p w14:paraId="2A1A4F41">
      <w:pPr>
        <w:spacing w:line="400" w:lineRule="auto"/>
        <w:ind w:firstLine="480" w:firstLineChars="200"/>
        <w:jc w:val="left"/>
        <w:rPr>
          <w:rFonts w:ascii="宋体" w:hAnsi="宋体" w:cs="宋体"/>
          <w:sz w:val="24"/>
        </w:rPr>
      </w:pPr>
      <w:r>
        <w:rPr>
          <w:rFonts w:hint="eastAsia" w:ascii="宋体" w:hAnsi="宋体" w:cs="宋体"/>
          <w:sz w:val="24"/>
        </w:rPr>
        <w:t>4、技术联系人：</w:t>
      </w:r>
      <w:r>
        <w:rPr>
          <w:rFonts w:hint="eastAsia" w:ascii="宋体" w:hAnsi="宋体" w:cs="宋体"/>
          <w:sz w:val="24"/>
          <w:lang w:val="en-US" w:eastAsia="zh-CN"/>
        </w:rPr>
        <w:t>王工</w:t>
      </w:r>
      <w:r>
        <w:rPr>
          <w:rFonts w:hint="eastAsia" w:ascii="宋体" w:hAnsi="宋体" w:cs="宋体"/>
          <w:sz w:val="24"/>
        </w:rPr>
        <w:t>，联系电话：</w:t>
      </w:r>
      <w:r>
        <w:rPr>
          <w:rFonts w:hint="eastAsia" w:ascii="宋体" w:hAnsi="宋体" w:cs="宋体"/>
          <w:sz w:val="24"/>
          <w:lang w:val="en-US" w:eastAsia="zh-CN"/>
        </w:rPr>
        <w:t>13964148614</w:t>
      </w:r>
      <w:r>
        <w:rPr>
          <w:rFonts w:hint="eastAsia" w:ascii="宋体" w:hAnsi="宋体" w:cs="宋体"/>
          <w:sz w:val="24"/>
        </w:rPr>
        <w:t>。</w:t>
      </w:r>
    </w:p>
    <w:p w14:paraId="6C655926">
      <w:pPr>
        <w:spacing w:line="400" w:lineRule="auto"/>
        <w:ind w:firstLine="482" w:firstLineChars="200"/>
        <w:jc w:val="left"/>
        <w:rPr>
          <w:rFonts w:ascii="宋体" w:hAnsi="宋体" w:cs="宋体"/>
          <w:b/>
          <w:sz w:val="24"/>
        </w:rPr>
      </w:pPr>
      <w:r>
        <w:rPr>
          <w:rFonts w:hint="eastAsia" w:ascii="宋体" w:hAnsi="宋体" w:cs="宋体"/>
          <w:b/>
          <w:sz w:val="24"/>
        </w:rPr>
        <w:t>十、其他要求</w:t>
      </w:r>
    </w:p>
    <w:p w14:paraId="71953D00">
      <w:pPr>
        <w:spacing w:line="400" w:lineRule="auto"/>
        <w:ind w:firstLine="480" w:firstLineChars="200"/>
        <w:jc w:val="left"/>
        <w:rPr>
          <w:rFonts w:ascii="宋体" w:hAnsi="宋体" w:cs="宋体"/>
          <w:sz w:val="24"/>
        </w:rPr>
      </w:pPr>
      <w:r>
        <w:rPr>
          <w:rFonts w:hint="eastAsia" w:ascii="宋体" w:hAnsi="宋体" w:cs="宋体"/>
          <w:sz w:val="24"/>
        </w:rPr>
        <w:t>1、参加谈判的人员在济钢集团有限公司的一切活动，必须遵守济钢集团有限公司的安全规定。需要现场踏勘时，必须遵守安全管理规定，服从现场人员指挥。</w:t>
      </w:r>
    </w:p>
    <w:p w14:paraId="7ECC1E09">
      <w:pPr>
        <w:spacing w:line="400" w:lineRule="auto"/>
        <w:ind w:firstLine="480" w:firstLineChars="200"/>
        <w:jc w:val="left"/>
        <w:rPr>
          <w:rFonts w:ascii="宋体" w:hAnsi="宋体" w:cs="宋体"/>
          <w:sz w:val="24"/>
        </w:rPr>
      </w:pPr>
      <w:r>
        <w:rPr>
          <w:rFonts w:hint="eastAsia" w:ascii="宋体" w:hAnsi="宋体" w:cs="宋体"/>
          <w:sz w:val="24"/>
        </w:rPr>
        <w:t>2、请有意参加的潜在供应商每日登陆系统，用注册的用户名查找是否有澄清通知等信息，采购人不再单独通知，怠于登陆造成的后果由供应商承担。</w:t>
      </w:r>
    </w:p>
    <w:p w14:paraId="1FA45EBF">
      <w:pPr>
        <w:spacing w:line="400" w:lineRule="auto"/>
        <w:ind w:firstLine="482" w:firstLineChars="200"/>
        <w:jc w:val="left"/>
        <w:rPr>
          <w:rFonts w:ascii="宋体" w:hAnsi="宋体" w:cs="宋体"/>
          <w:b/>
          <w:sz w:val="24"/>
        </w:rPr>
      </w:pPr>
      <w:r>
        <w:rPr>
          <w:rFonts w:hint="eastAsia" w:ascii="宋体" w:hAnsi="宋体" w:cs="宋体"/>
          <w:b/>
          <w:sz w:val="24"/>
        </w:rPr>
        <w:t>十</w:t>
      </w:r>
      <w:r>
        <w:rPr>
          <w:rFonts w:hint="eastAsia" w:ascii="宋体" w:hAnsi="宋体" w:cs="宋体"/>
          <w:b/>
          <w:sz w:val="24"/>
          <w:lang w:val="en-US" w:eastAsia="zh-CN"/>
        </w:rPr>
        <w:t>一</w:t>
      </w:r>
      <w:r>
        <w:rPr>
          <w:rFonts w:hint="eastAsia" w:ascii="宋体" w:hAnsi="宋体" w:cs="宋体"/>
          <w:b/>
          <w:sz w:val="24"/>
        </w:rPr>
        <w:t>、公告中的内容和要求以最终的谈判文件为准。</w:t>
      </w:r>
    </w:p>
    <w:p w14:paraId="4595FDDD">
      <w:pPr>
        <w:spacing w:line="400" w:lineRule="auto"/>
        <w:jc w:val="left"/>
        <w:rPr>
          <w:rFonts w:ascii="宋体" w:hAnsi="宋体" w:cs="宋体"/>
          <w:sz w:val="24"/>
        </w:rPr>
      </w:pPr>
    </w:p>
    <w:p w14:paraId="296FB2B5">
      <w:pPr>
        <w:spacing w:line="400" w:lineRule="auto"/>
        <w:jc w:val="right"/>
        <w:rPr>
          <w:rFonts w:ascii="宋体" w:hAnsi="宋体" w:cs="宋体"/>
          <w:sz w:val="24"/>
        </w:rPr>
      </w:pPr>
      <w:r>
        <w:rPr>
          <w:rFonts w:hint="eastAsia" w:ascii="宋体" w:hAnsi="宋体" w:cs="宋体"/>
          <w:sz w:val="24"/>
        </w:rPr>
        <w:t>山东济钢环保新材料有限公司</w:t>
      </w:r>
    </w:p>
    <w:p w14:paraId="76656399">
      <w:pPr>
        <w:spacing w:line="400" w:lineRule="auto"/>
        <w:ind w:left="1000"/>
        <w:jc w:val="right"/>
        <w:rPr>
          <w:rFonts w:ascii="宋体" w:hAnsi="宋体" w:cs="宋体"/>
          <w:sz w:val="24"/>
        </w:rPr>
      </w:pPr>
      <w:r>
        <w:rPr>
          <w:rFonts w:hint="eastAsia" w:ascii="宋体" w:hAnsi="宋体" w:cs="宋体"/>
          <w:sz w:val="24"/>
        </w:rPr>
        <w:t xml:space="preserve">                             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3</w:t>
      </w:r>
      <w:r>
        <w:rPr>
          <w:rFonts w:hint="eastAsia" w:ascii="宋体" w:hAnsi="宋体" w:cs="宋体"/>
          <w:sz w:val="24"/>
        </w:rPr>
        <w:t>月</w:t>
      </w:r>
      <w:r>
        <w:rPr>
          <w:rFonts w:hint="eastAsia" w:ascii="宋体" w:hAnsi="宋体" w:cs="宋体"/>
          <w:sz w:val="24"/>
          <w:lang w:val="en-US" w:eastAsia="zh-CN"/>
        </w:rPr>
        <w:t>4</w:t>
      </w:r>
      <w:r>
        <w:rPr>
          <w:rFonts w:hint="eastAsia" w:ascii="宋体" w:hAnsi="宋体" w:cs="宋体"/>
          <w:sz w:val="24"/>
        </w:rPr>
        <w:t>日</w:t>
      </w:r>
    </w:p>
    <w:p w14:paraId="6E0097A0">
      <w:pPr>
        <w:spacing w:line="360" w:lineRule="auto"/>
        <w:ind w:firstLine="420" w:firstLineChars="200"/>
        <w:rPr>
          <w:szCs w:val="22"/>
        </w:rPr>
      </w:pPr>
    </w:p>
    <w:p w14:paraId="5018F5DB">
      <w:pPr>
        <w:pStyle w:val="2"/>
        <w:rPr>
          <w:color w:val="auto"/>
        </w:rPr>
      </w:pPr>
    </w:p>
    <w:p w14:paraId="7F8E6C2C">
      <w:pPr>
        <w:pStyle w:val="2"/>
        <w:rPr>
          <w:color w:val="auto"/>
        </w:rPr>
      </w:pPr>
    </w:p>
    <w:p w14:paraId="7C484B33">
      <w:pPr>
        <w:pStyle w:val="2"/>
        <w:rPr>
          <w:color w:val="auto"/>
        </w:rPr>
      </w:pPr>
    </w:p>
    <w:p w14:paraId="737BD5D9">
      <w:pPr>
        <w:pStyle w:val="2"/>
        <w:rPr>
          <w:color w:val="auto"/>
        </w:rPr>
      </w:pPr>
    </w:p>
    <w:p w14:paraId="1719EA23">
      <w:pPr>
        <w:pStyle w:val="2"/>
        <w:rPr>
          <w:color w:val="auto"/>
        </w:rPr>
      </w:pPr>
    </w:p>
    <w:p w14:paraId="1DA7FFCC">
      <w:pPr>
        <w:pStyle w:val="2"/>
        <w:rPr>
          <w:color w:val="auto"/>
        </w:rPr>
      </w:pPr>
    </w:p>
    <w:p w14:paraId="1DBFD9BD">
      <w:pPr>
        <w:pStyle w:val="2"/>
        <w:rPr>
          <w:color w:val="auto"/>
        </w:rPr>
      </w:pPr>
    </w:p>
    <w:p w14:paraId="5281E84E">
      <w:pPr>
        <w:pStyle w:val="2"/>
        <w:rPr>
          <w:color w:val="auto"/>
        </w:rPr>
      </w:pPr>
    </w:p>
    <w:p w14:paraId="390A4C34">
      <w:pPr>
        <w:pStyle w:val="2"/>
        <w:rPr>
          <w:color w:val="auto"/>
        </w:rPr>
      </w:pPr>
    </w:p>
    <w:p w14:paraId="5D19872D">
      <w:pPr>
        <w:pStyle w:val="2"/>
        <w:rPr>
          <w:color w:val="auto"/>
        </w:rPr>
      </w:pPr>
    </w:p>
    <w:p w14:paraId="0823212F">
      <w:pPr>
        <w:pStyle w:val="10"/>
        <w:spacing w:line="360" w:lineRule="auto"/>
        <w:ind w:right="560"/>
        <w:rPr>
          <w:rFonts w:ascii="仿宋" w:hAnsi="仿宋" w:eastAsia="仿宋"/>
          <w:sz w:val="28"/>
          <w:szCs w:val="28"/>
        </w:rPr>
      </w:pPr>
    </w:p>
    <w:p w14:paraId="09A8CB82">
      <w:pPr>
        <w:pStyle w:val="39"/>
        <w:spacing w:before="156"/>
        <w:ind w:firstLine="3253" w:firstLineChars="900"/>
        <w:jc w:val="both"/>
        <w:rPr>
          <w:rFonts w:hint="eastAsia"/>
          <w:b/>
          <w:bCs/>
          <w:sz w:val="36"/>
          <w:szCs w:val="36"/>
        </w:rPr>
      </w:pPr>
    </w:p>
    <w:p w14:paraId="240D691A">
      <w:pPr>
        <w:pStyle w:val="39"/>
        <w:spacing w:before="156"/>
        <w:ind w:firstLine="3253" w:firstLineChars="900"/>
        <w:jc w:val="both"/>
        <w:rPr>
          <w:rFonts w:hint="eastAsia"/>
          <w:b/>
          <w:bCs/>
          <w:sz w:val="36"/>
          <w:szCs w:val="36"/>
        </w:rPr>
      </w:pPr>
    </w:p>
    <w:p w14:paraId="7663E522">
      <w:pPr>
        <w:pStyle w:val="39"/>
        <w:spacing w:before="156"/>
        <w:ind w:firstLine="3253" w:firstLineChars="900"/>
        <w:jc w:val="both"/>
        <w:rPr>
          <w:rFonts w:hint="eastAsia"/>
          <w:b/>
          <w:bCs/>
          <w:sz w:val="36"/>
          <w:szCs w:val="36"/>
        </w:rPr>
      </w:pPr>
    </w:p>
    <w:p w14:paraId="17B2D1A3">
      <w:pPr>
        <w:pStyle w:val="39"/>
        <w:spacing w:before="156"/>
        <w:ind w:firstLine="3253" w:firstLineChars="900"/>
        <w:jc w:val="both"/>
        <w:rPr>
          <w:rFonts w:hint="eastAsia"/>
          <w:b/>
          <w:bCs/>
          <w:sz w:val="36"/>
          <w:szCs w:val="36"/>
        </w:rPr>
      </w:pPr>
    </w:p>
    <w:p w14:paraId="21EEEB13">
      <w:pPr>
        <w:pStyle w:val="39"/>
        <w:spacing w:before="156"/>
        <w:ind w:firstLine="3253" w:firstLineChars="900"/>
        <w:jc w:val="both"/>
        <w:rPr>
          <w:b/>
          <w:bCs/>
          <w:sz w:val="36"/>
          <w:szCs w:val="36"/>
        </w:rPr>
      </w:pPr>
      <w:r>
        <w:rPr>
          <w:rFonts w:hint="eastAsia"/>
          <w:b/>
          <w:bCs/>
          <w:sz w:val="36"/>
          <w:szCs w:val="36"/>
        </w:rPr>
        <w:t>第二章</w:t>
      </w:r>
      <w:r>
        <w:rPr>
          <w:b/>
          <w:bCs/>
          <w:sz w:val="36"/>
          <w:szCs w:val="36"/>
        </w:rPr>
        <w:t xml:space="preserve">  </w:t>
      </w:r>
      <w:r>
        <w:rPr>
          <w:rFonts w:hint="eastAsia"/>
          <w:b/>
          <w:bCs/>
          <w:sz w:val="36"/>
          <w:szCs w:val="36"/>
        </w:rPr>
        <w:t>谈判须知</w:t>
      </w:r>
    </w:p>
    <w:p w14:paraId="269D36DF">
      <w:pPr>
        <w:pStyle w:val="42"/>
        <w:rPr>
          <w:sz w:val="30"/>
          <w:szCs w:val="30"/>
        </w:rPr>
      </w:pPr>
      <w:bookmarkStart w:id="1" w:name="_Toc508871672"/>
      <w:r>
        <w:rPr>
          <w:rFonts w:hint="eastAsia" w:eastAsia="宋体"/>
          <w:sz w:val="30"/>
          <w:szCs w:val="30"/>
        </w:rPr>
        <w:t>谈判</w:t>
      </w:r>
      <w:r>
        <w:rPr>
          <w:rStyle w:val="29"/>
          <w:rFonts w:hint="eastAsia"/>
          <w:b w:val="0"/>
          <w:bCs w:val="0"/>
        </w:rPr>
        <w:t>须知前附表</w:t>
      </w:r>
      <w:bookmarkEnd w:id="1"/>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660"/>
        <w:gridCol w:w="7138"/>
        <w:gridCol w:w="13"/>
      </w:tblGrid>
      <w:tr w14:paraId="2089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958" w:type="dxa"/>
            <w:vAlign w:val="center"/>
          </w:tcPr>
          <w:p w14:paraId="0A6A4DB8">
            <w:pPr>
              <w:spacing w:line="400" w:lineRule="exact"/>
              <w:jc w:val="center"/>
              <w:rPr>
                <w:b/>
              </w:rPr>
            </w:pPr>
            <w:r>
              <w:rPr>
                <w:rFonts w:hint="eastAsia"/>
                <w:b/>
              </w:rPr>
              <w:t>条款号</w:t>
            </w:r>
          </w:p>
        </w:tc>
        <w:tc>
          <w:tcPr>
            <w:tcW w:w="1660" w:type="dxa"/>
            <w:vAlign w:val="center"/>
          </w:tcPr>
          <w:p w14:paraId="403E5099">
            <w:pPr>
              <w:spacing w:line="400" w:lineRule="exact"/>
              <w:jc w:val="center"/>
              <w:rPr>
                <w:b/>
              </w:rPr>
            </w:pPr>
            <w:r>
              <w:rPr>
                <w:rFonts w:hint="eastAsia"/>
                <w:b/>
              </w:rPr>
              <w:t>条款名称</w:t>
            </w:r>
          </w:p>
        </w:tc>
        <w:tc>
          <w:tcPr>
            <w:tcW w:w="7151" w:type="dxa"/>
            <w:gridSpan w:val="2"/>
            <w:vAlign w:val="center"/>
          </w:tcPr>
          <w:p w14:paraId="1D7B6ED4">
            <w:pPr>
              <w:spacing w:line="340" w:lineRule="exact"/>
              <w:jc w:val="center"/>
              <w:rPr>
                <w:b/>
              </w:rPr>
            </w:pPr>
            <w:r>
              <w:rPr>
                <w:rFonts w:hint="eastAsia"/>
                <w:b/>
              </w:rPr>
              <w:t>编列内容</w:t>
            </w:r>
          </w:p>
        </w:tc>
      </w:tr>
      <w:tr w14:paraId="3D22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B9DFAED">
            <w:pPr>
              <w:jc w:val="center"/>
            </w:pPr>
            <w:r>
              <w:rPr>
                <w:rFonts w:hint="eastAsia"/>
              </w:rPr>
              <w:t>1.1.1</w:t>
            </w:r>
          </w:p>
        </w:tc>
        <w:tc>
          <w:tcPr>
            <w:tcW w:w="1660" w:type="dxa"/>
            <w:vAlign w:val="center"/>
          </w:tcPr>
          <w:p w14:paraId="5BD00609">
            <w:pPr>
              <w:jc w:val="center"/>
            </w:pPr>
            <w:r>
              <w:rPr>
                <w:rFonts w:hint="eastAsia"/>
              </w:rPr>
              <w:t>采购人</w:t>
            </w:r>
          </w:p>
        </w:tc>
        <w:tc>
          <w:tcPr>
            <w:tcW w:w="7151" w:type="dxa"/>
            <w:gridSpan w:val="2"/>
            <w:vAlign w:val="center"/>
          </w:tcPr>
          <w:p w14:paraId="0CE51D48">
            <w:pPr>
              <w:spacing w:line="340" w:lineRule="exact"/>
            </w:pPr>
            <w:r>
              <w:rPr>
                <w:rFonts w:hint="eastAsia"/>
              </w:rPr>
              <w:t>山东济钢环保新材料有限公司</w:t>
            </w:r>
          </w:p>
        </w:tc>
      </w:tr>
      <w:tr w14:paraId="43BD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4CA2AA41">
            <w:pPr>
              <w:jc w:val="center"/>
            </w:pPr>
            <w:r>
              <w:rPr>
                <w:rFonts w:hint="eastAsia"/>
              </w:rPr>
              <w:t>1.1.2</w:t>
            </w:r>
          </w:p>
        </w:tc>
        <w:tc>
          <w:tcPr>
            <w:tcW w:w="1660" w:type="dxa"/>
            <w:vAlign w:val="center"/>
          </w:tcPr>
          <w:p w14:paraId="2F04DD1B">
            <w:pPr>
              <w:jc w:val="center"/>
            </w:pPr>
            <w:r>
              <w:rPr>
                <w:rFonts w:hint="eastAsia"/>
              </w:rPr>
              <w:t>项目名称</w:t>
            </w:r>
          </w:p>
        </w:tc>
        <w:tc>
          <w:tcPr>
            <w:tcW w:w="7151" w:type="dxa"/>
            <w:gridSpan w:val="2"/>
            <w:vAlign w:val="center"/>
          </w:tcPr>
          <w:p w14:paraId="31C8E88D">
            <w:pPr>
              <w:spacing w:line="340" w:lineRule="exact"/>
            </w:pPr>
            <w:r>
              <w:rPr>
                <w:rFonts w:hint="eastAsia"/>
                <w:lang w:val="en-US" w:eastAsia="zh-CN"/>
              </w:rPr>
              <w:t>2026年度</w:t>
            </w:r>
            <w:r>
              <w:rPr>
                <w:rFonts w:hint="eastAsia"/>
              </w:rPr>
              <w:t>安全生产诊断</w:t>
            </w:r>
            <w:r>
              <w:rPr>
                <w:rFonts w:hint="eastAsia"/>
                <w:lang w:val="en-US" w:eastAsia="zh-CN"/>
              </w:rPr>
              <w:t>及安</w:t>
            </w:r>
            <w:r>
              <w:rPr>
                <w:rFonts w:hint="eastAsia" w:ascii="宋体" w:hAnsi="宋体" w:eastAsia="宋体" w:cs="宋体"/>
                <w:sz w:val="24"/>
                <w:lang w:val="en-US" w:eastAsia="zh-CN"/>
              </w:rPr>
              <w:t>全现状评价</w:t>
            </w:r>
            <w:r>
              <w:rPr>
                <w:rFonts w:hint="eastAsia" w:ascii="宋体" w:hAnsi="宋体" w:eastAsia="宋体" w:cs="宋体"/>
                <w:sz w:val="24"/>
              </w:rPr>
              <w:t>服务</w:t>
            </w:r>
          </w:p>
        </w:tc>
      </w:tr>
      <w:tr w14:paraId="5F30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vAlign w:val="center"/>
          </w:tcPr>
          <w:p w14:paraId="7037ECC3">
            <w:pPr>
              <w:jc w:val="center"/>
            </w:pPr>
            <w:r>
              <w:rPr>
                <w:rFonts w:hint="eastAsia"/>
              </w:rPr>
              <w:t>1.1.3</w:t>
            </w:r>
          </w:p>
        </w:tc>
        <w:tc>
          <w:tcPr>
            <w:tcW w:w="1660" w:type="dxa"/>
            <w:vAlign w:val="center"/>
          </w:tcPr>
          <w:p w14:paraId="27DFB009">
            <w:pPr>
              <w:spacing w:line="240" w:lineRule="atLeast"/>
              <w:jc w:val="center"/>
            </w:pPr>
            <w:r>
              <w:rPr>
                <w:rFonts w:hint="eastAsia"/>
              </w:rPr>
              <w:t>项目概况</w:t>
            </w:r>
          </w:p>
        </w:tc>
        <w:tc>
          <w:tcPr>
            <w:tcW w:w="7151" w:type="dxa"/>
            <w:gridSpan w:val="2"/>
            <w:vAlign w:val="center"/>
          </w:tcPr>
          <w:p w14:paraId="21774FF3">
            <w:pPr>
              <w:spacing w:line="340" w:lineRule="exact"/>
            </w:pPr>
            <w:r>
              <w:rPr>
                <w:rFonts w:hint="eastAsia"/>
              </w:rPr>
              <w:t>详见公告第三条</w:t>
            </w:r>
          </w:p>
        </w:tc>
      </w:tr>
      <w:tr w14:paraId="71F4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vAlign w:val="center"/>
          </w:tcPr>
          <w:p w14:paraId="23FF089C">
            <w:pPr>
              <w:jc w:val="center"/>
            </w:pPr>
            <w:r>
              <w:rPr>
                <w:rFonts w:hint="eastAsia"/>
              </w:rPr>
              <w:t>1.1.4</w:t>
            </w:r>
          </w:p>
        </w:tc>
        <w:tc>
          <w:tcPr>
            <w:tcW w:w="1660" w:type="dxa"/>
            <w:vAlign w:val="center"/>
          </w:tcPr>
          <w:p w14:paraId="7D14965D">
            <w:pPr>
              <w:spacing w:line="240" w:lineRule="atLeast"/>
              <w:jc w:val="center"/>
            </w:pPr>
            <w:r>
              <w:rPr>
                <w:rFonts w:hint="eastAsia"/>
              </w:rPr>
              <w:t>项目地点</w:t>
            </w:r>
          </w:p>
        </w:tc>
        <w:tc>
          <w:tcPr>
            <w:tcW w:w="7151" w:type="dxa"/>
            <w:gridSpan w:val="2"/>
            <w:vAlign w:val="center"/>
          </w:tcPr>
          <w:p w14:paraId="660A042C">
            <w:pPr>
              <w:spacing w:line="340" w:lineRule="exact"/>
            </w:pPr>
            <w:r>
              <w:rPr>
                <w:rFonts w:hint="eastAsia"/>
              </w:rPr>
              <w:t>山东省济南市章丘区官庄街道青野村东</w:t>
            </w:r>
          </w:p>
        </w:tc>
      </w:tr>
      <w:tr w14:paraId="3528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vAlign w:val="center"/>
          </w:tcPr>
          <w:p w14:paraId="34C8866E">
            <w:pPr>
              <w:jc w:val="center"/>
            </w:pPr>
            <w:r>
              <w:rPr>
                <w:rFonts w:hint="eastAsia"/>
              </w:rPr>
              <w:t>1.2.1</w:t>
            </w:r>
          </w:p>
        </w:tc>
        <w:tc>
          <w:tcPr>
            <w:tcW w:w="1660" w:type="dxa"/>
            <w:vAlign w:val="center"/>
          </w:tcPr>
          <w:p w14:paraId="71425D2D">
            <w:pPr>
              <w:spacing w:line="240" w:lineRule="atLeast"/>
              <w:jc w:val="center"/>
            </w:pPr>
            <w:r>
              <w:rPr>
                <w:rFonts w:hint="eastAsia"/>
              </w:rPr>
              <w:t>资金来源</w:t>
            </w:r>
          </w:p>
        </w:tc>
        <w:tc>
          <w:tcPr>
            <w:tcW w:w="7151" w:type="dxa"/>
            <w:gridSpan w:val="2"/>
            <w:vAlign w:val="center"/>
          </w:tcPr>
          <w:p w14:paraId="09846743">
            <w:pPr>
              <w:spacing w:line="340" w:lineRule="exact"/>
            </w:pPr>
            <w:r>
              <w:rPr>
                <w:rFonts w:hint="eastAsia"/>
              </w:rPr>
              <w:t>自有资金</w:t>
            </w:r>
          </w:p>
          <w:p w14:paraId="0CC17B72">
            <w:pPr>
              <w:spacing w:line="340" w:lineRule="exact"/>
            </w:pPr>
          </w:p>
        </w:tc>
      </w:tr>
      <w:tr w14:paraId="5E25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vAlign w:val="center"/>
          </w:tcPr>
          <w:p w14:paraId="658FF44A">
            <w:pPr>
              <w:jc w:val="center"/>
            </w:pPr>
            <w:r>
              <w:rPr>
                <w:rFonts w:hint="eastAsia"/>
              </w:rPr>
              <w:t>1.2.2</w:t>
            </w:r>
          </w:p>
        </w:tc>
        <w:tc>
          <w:tcPr>
            <w:tcW w:w="1660" w:type="dxa"/>
            <w:vAlign w:val="center"/>
          </w:tcPr>
          <w:p w14:paraId="5033121E">
            <w:pPr>
              <w:spacing w:line="240" w:lineRule="atLeast"/>
              <w:jc w:val="center"/>
            </w:pPr>
            <w:r>
              <w:rPr>
                <w:rFonts w:hint="eastAsia"/>
              </w:rPr>
              <w:t>采购方式</w:t>
            </w:r>
          </w:p>
        </w:tc>
        <w:tc>
          <w:tcPr>
            <w:tcW w:w="7151" w:type="dxa"/>
            <w:gridSpan w:val="2"/>
            <w:vAlign w:val="center"/>
          </w:tcPr>
          <w:p w14:paraId="08C06478">
            <w:pPr>
              <w:spacing w:line="340" w:lineRule="exact"/>
            </w:pPr>
            <w:r>
              <w:rPr>
                <w:rFonts w:hint="eastAsia"/>
              </w:rPr>
              <w:t>竞争性谈判，资格后审</w:t>
            </w:r>
          </w:p>
        </w:tc>
      </w:tr>
      <w:tr w14:paraId="7F47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958" w:type="dxa"/>
            <w:vAlign w:val="center"/>
          </w:tcPr>
          <w:p w14:paraId="0C2107C8">
            <w:pPr>
              <w:jc w:val="center"/>
            </w:pPr>
            <w:r>
              <w:rPr>
                <w:rFonts w:hint="eastAsia"/>
              </w:rPr>
              <w:t>1.3.1</w:t>
            </w:r>
          </w:p>
        </w:tc>
        <w:tc>
          <w:tcPr>
            <w:tcW w:w="1660" w:type="dxa"/>
            <w:vAlign w:val="center"/>
          </w:tcPr>
          <w:p w14:paraId="0861A280">
            <w:pPr>
              <w:spacing w:line="360" w:lineRule="exact"/>
              <w:jc w:val="center"/>
            </w:pPr>
            <w:r>
              <w:rPr>
                <w:rFonts w:hint="eastAsia"/>
              </w:rPr>
              <w:t>采购范围</w:t>
            </w:r>
          </w:p>
        </w:tc>
        <w:tc>
          <w:tcPr>
            <w:tcW w:w="7151" w:type="dxa"/>
            <w:gridSpan w:val="2"/>
            <w:vAlign w:val="center"/>
          </w:tcPr>
          <w:p w14:paraId="48488161">
            <w:pPr>
              <w:spacing w:line="360" w:lineRule="auto"/>
            </w:pPr>
            <w:r>
              <w:rPr>
                <w:rFonts w:hint="eastAsia"/>
              </w:rPr>
              <w:t>详见公告第三条</w:t>
            </w:r>
          </w:p>
        </w:tc>
      </w:tr>
      <w:tr w14:paraId="1EBB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vAlign w:val="center"/>
          </w:tcPr>
          <w:p w14:paraId="744EE6FA">
            <w:pPr>
              <w:spacing w:line="240" w:lineRule="atLeast"/>
              <w:jc w:val="center"/>
            </w:pPr>
            <w:r>
              <w:rPr>
                <w:rFonts w:hint="eastAsia"/>
              </w:rPr>
              <w:t>1.3.2</w:t>
            </w:r>
          </w:p>
        </w:tc>
        <w:tc>
          <w:tcPr>
            <w:tcW w:w="1660" w:type="dxa"/>
            <w:vAlign w:val="center"/>
          </w:tcPr>
          <w:p w14:paraId="2C2E2C2F">
            <w:pPr>
              <w:spacing w:line="240" w:lineRule="atLeast"/>
              <w:jc w:val="center"/>
            </w:pPr>
            <w:r>
              <w:rPr>
                <w:rFonts w:hint="eastAsia"/>
              </w:rPr>
              <w:t>服务期限</w:t>
            </w:r>
          </w:p>
        </w:tc>
        <w:tc>
          <w:tcPr>
            <w:tcW w:w="7151" w:type="dxa"/>
            <w:gridSpan w:val="2"/>
          </w:tcPr>
          <w:p w14:paraId="6D81DDB5">
            <w:pPr>
              <w:spacing w:line="340" w:lineRule="exact"/>
              <w:rPr>
                <w:rFonts w:hint="default"/>
                <w:szCs w:val="21"/>
                <w:lang w:val="en-US"/>
              </w:rPr>
            </w:pPr>
            <w:r>
              <w:rPr>
                <w:rFonts w:hint="eastAsia" w:ascii="宋体" w:hAnsi="宋体" w:cs="宋体"/>
                <w:szCs w:val="21"/>
              </w:rPr>
              <w:t>自合同生效之日起至</w:t>
            </w:r>
            <w:r>
              <w:rPr>
                <w:rFonts w:hint="eastAsia" w:ascii="宋体" w:hAnsi="宋体" w:cs="宋体"/>
                <w:szCs w:val="21"/>
                <w:lang w:val="en-US" w:eastAsia="zh-CN"/>
              </w:rPr>
              <w:t>办理完成《</w:t>
            </w:r>
            <w:r>
              <w:rPr>
                <w:rFonts w:hint="eastAsia" w:ascii="宋体" w:hAnsi="宋体" w:cs="宋体"/>
                <w:szCs w:val="21"/>
              </w:rPr>
              <w:t>安全生产许可证</w:t>
            </w:r>
            <w:r>
              <w:rPr>
                <w:rFonts w:hint="eastAsia" w:ascii="宋体" w:hAnsi="宋体" w:cs="宋体"/>
                <w:szCs w:val="21"/>
                <w:lang w:val="en-US" w:eastAsia="zh-CN"/>
              </w:rPr>
              <w:t>》延期</w:t>
            </w:r>
          </w:p>
        </w:tc>
      </w:tr>
      <w:tr w14:paraId="06FB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958" w:type="dxa"/>
            <w:vAlign w:val="center"/>
          </w:tcPr>
          <w:p w14:paraId="09ADBEE1">
            <w:pPr>
              <w:spacing w:line="240" w:lineRule="atLeast"/>
              <w:jc w:val="center"/>
            </w:pPr>
            <w:r>
              <w:rPr>
                <w:rFonts w:hint="eastAsia"/>
              </w:rPr>
              <w:t>1.3.3</w:t>
            </w:r>
          </w:p>
        </w:tc>
        <w:tc>
          <w:tcPr>
            <w:tcW w:w="1660" w:type="dxa"/>
            <w:vAlign w:val="center"/>
          </w:tcPr>
          <w:p w14:paraId="31485908">
            <w:pPr>
              <w:spacing w:line="240" w:lineRule="atLeast"/>
              <w:jc w:val="center"/>
            </w:pPr>
            <w:r>
              <w:rPr>
                <w:rFonts w:hint="eastAsia"/>
              </w:rPr>
              <w:t>交货地点</w:t>
            </w:r>
          </w:p>
        </w:tc>
        <w:tc>
          <w:tcPr>
            <w:tcW w:w="7151" w:type="dxa"/>
            <w:gridSpan w:val="2"/>
            <w:vAlign w:val="center"/>
          </w:tcPr>
          <w:p w14:paraId="6B4518BD">
            <w:pPr>
              <w:spacing w:line="340" w:lineRule="exact"/>
              <w:rPr>
                <w:b/>
              </w:rPr>
            </w:pPr>
            <w:r>
              <w:rPr>
                <w:rFonts w:hint="eastAsia"/>
              </w:rPr>
              <w:t>山东省济南市章丘区官庄街道青野村东</w:t>
            </w:r>
          </w:p>
        </w:tc>
      </w:tr>
      <w:tr w14:paraId="6273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958" w:type="dxa"/>
            <w:vAlign w:val="center"/>
          </w:tcPr>
          <w:p w14:paraId="33F330BA">
            <w:pPr>
              <w:spacing w:line="240" w:lineRule="atLeast"/>
              <w:jc w:val="center"/>
            </w:pPr>
            <w:r>
              <w:rPr>
                <w:rFonts w:hint="eastAsia"/>
              </w:rPr>
              <w:t>1.3.4</w:t>
            </w:r>
          </w:p>
        </w:tc>
        <w:tc>
          <w:tcPr>
            <w:tcW w:w="1660" w:type="dxa"/>
            <w:vAlign w:val="center"/>
          </w:tcPr>
          <w:p w14:paraId="3E33977A">
            <w:pPr>
              <w:spacing w:line="240" w:lineRule="atLeast"/>
              <w:jc w:val="center"/>
            </w:pPr>
            <w:r>
              <w:rPr>
                <w:rFonts w:hint="eastAsia"/>
              </w:rPr>
              <w:t>出具报告期限</w:t>
            </w:r>
          </w:p>
        </w:tc>
        <w:tc>
          <w:tcPr>
            <w:tcW w:w="7151" w:type="dxa"/>
            <w:gridSpan w:val="2"/>
            <w:vAlign w:val="center"/>
          </w:tcPr>
          <w:p w14:paraId="048DC285">
            <w:pPr>
              <w:spacing w:line="240" w:lineRule="atLeast"/>
              <w:jc w:val="left"/>
              <w:rPr>
                <w:rFonts w:hint="default" w:eastAsia="宋体"/>
                <w:lang w:val="en-US" w:eastAsia="zh-CN"/>
              </w:rPr>
            </w:pPr>
            <w:r>
              <w:rPr>
                <w:rFonts w:hint="eastAsia" w:cs="Times New Roman"/>
                <w:lang w:val="en-US" w:eastAsia="zh-CN"/>
              </w:rPr>
              <w:t>25个日历日内完成</w:t>
            </w:r>
            <w:r>
              <w:rPr>
                <w:rFonts w:hint="eastAsia" w:eastAsia="宋体" w:cs="Times New Roman"/>
                <w:lang w:val="en-US" w:eastAsia="zh-CN"/>
              </w:rPr>
              <w:t>安全诊断报告</w:t>
            </w:r>
            <w:r>
              <w:rPr>
                <w:rFonts w:hint="eastAsia" w:cs="Times New Roman"/>
                <w:lang w:val="en-US" w:eastAsia="zh-CN"/>
              </w:rPr>
              <w:t>的编写、</w:t>
            </w:r>
            <w:r>
              <w:rPr>
                <w:rFonts w:hint="eastAsia" w:eastAsia="宋体" w:cs="Times New Roman"/>
                <w:lang w:val="en-US" w:eastAsia="zh-CN"/>
              </w:rPr>
              <w:t>40个日历日内完</w:t>
            </w:r>
            <w:r>
              <w:rPr>
                <w:rFonts w:hint="eastAsia" w:eastAsia="宋体" w:cs="Times New Roman"/>
              </w:rPr>
              <w:t>成安全现状评价报</w:t>
            </w:r>
            <w:r>
              <w:rPr>
                <w:rFonts w:hint="eastAsia" w:eastAsia="宋体" w:cs="Times New Roman"/>
                <w:lang w:val="en-US" w:eastAsia="zh-CN"/>
              </w:rPr>
              <w:t>告的编写，并向我方提交报告各五份</w:t>
            </w:r>
            <w:r>
              <w:rPr>
                <w:rFonts w:hint="eastAsia" w:cs="Times New Roman"/>
                <w:lang w:val="en-US" w:eastAsia="zh-CN"/>
              </w:rPr>
              <w:t>。</w:t>
            </w:r>
          </w:p>
        </w:tc>
      </w:tr>
      <w:tr w14:paraId="6A89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58" w:type="dxa"/>
            <w:vAlign w:val="center"/>
          </w:tcPr>
          <w:p w14:paraId="78B42F95">
            <w:pPr>
              <w:jc w:val="center"/>
            </w:pPr>
            <w:r>
              <w:rPr>
                <w:rFonts w:hint="eastAsia"/>
              </w:rPr>
              <w:t>1.4.1</w:t>
            </w:r>
          </w:p>
        </w:tc>
        <w:tc>
          <w:tcPr>
            <w:tcW w:w="1660" w:type="dxa"/>
            <w:vAlign w:val="center"/>
          </w:tcPr>
          <w:p w14:paraId="5AE5AB8E">
            <w:pPr>
              <w:spacing w:line="360" w:lineRule="exact"/>
              <w:jc w:val="center"/>
            </w:pPr>
            <w:r>
              <w:rPr>
                <w:rFonts w:hint="eastAsia"/>
              </w:rPr>
              <w:t xml:space="preserve">供应商的资格要求 </w:t>
            </w:r>
          </w:p>
        </w:tc>
        <w:tc>
          <w:tcPr>
            <w:tcW w:w="7151" w:type="dxa"/>
            <w:gridSpan w:val="2"/>
            <w:vAlign w:val="center"/>
          </w:tcPr>
          <w:p w14:paraId="1A7716BE">
            <w:pPr>
              <w:spacing w:line="360" w:lineRule="auto"/>
              <w:ind w:firstLine="420" w:firstLineChars="200"/>
            </w:pPr>
            <w:r>
              <w:t>1</w:t>
            </w:r>
            <w:r>
              <w:rPr>
                <w:rFonts w:hint="eastAsia"/>
              </w:rPr>
              <w:t>、依法成立，具有独立法人资格；</w:t>
            </w:r>
          </w:p>
          <w:p w14:paraId="79968594">
            <w:pPr>
              <w:spacing w:line="360" w:lineRule="auto"/>
              <w:ind w:firstLine="420" w:firstLineChars="200"/>
              <w:rPr>
                <w:highlight w:val="none"/>
              </w:rPr>
            </w:pPr>
            <w:r>
              <w:rPr>
                <w:rFonts w:hint="eastAsia"/>
              </w:rPr>
              <w:t>2、具有履行合同</w:t>
            </w:r>
            <w:r>
              <w:rPr>
                <w:rFonts w:hint="eastAsia"/>
                <w:highlight w:val="none"/>
              </w:rPr>
              <w:t>必需的设备、专业技术人员（安全、采矿、地质、电气、机械专职安全评价师），需要提供专业技术人员资格证书（复印件）；</w:t>
            </w:r>
          </w:p>
          <w:p w14:paraId="07D1C61B">
            <w:pPr>
              <w:spacing w:line="360" w:lineRule="auto"/>
              <w:ind w:firstLine="420" w:firstLineChars="200"/>
              <w:rPr>
                <w:highlight w:val="none"/>
              </w:rPr>
            </w:pPr>
            <w:r>
              <w:rPr>
                <w:rFonts w:hint="eastAsia"/>
                <w:highlight w:val="none"/>
              </w:rPr>
              <w:t>3、具有金属非金属矿山安全评价资质，提供近三年内3个及以上</w:t>
            </w:r>
            <w:r>
              <w:rPr>
                <w:rFonts w:hint="eastAsia"/>
                <w:highlight w:val="none"/>
                <w:lang w:val="en-US" w:eastAsia="zh-CN"/>
              </w:rPr>
              <w:t>安全诊断及2个及以上现状评价</w:t>
            </w:r>
            <w:r>
              <w:rPr>
                <w:rFonts w:hint="eastAsia"/>
                <w:highlight w:val="none"/>
              </w:rPr>
              <w:t>服务业绩，需要提供合同及发票等相关证明材料（扫描件）；</w:t>
            </w:r>
          </w:p>
          <w:p w14:paraId="15196FB4">
            <w:pPr>
              <w:spacing w:line="360" w:lineRule="auto"/>
              <w:ind w:firstLine="420" w:firstLineChars="200"/>
              <w:rPr>
                <w:highlight w:val="none"/>
              </w:rPr>
            </w:pPr>
            <w:r>
              <w:rPr>
                <w:rFonts w:hint="eastAsia"/>
                <w:highlight w:val="none"/>
              </w:rPr>
              <w:t>4、财务状况及经营业绩良好；</w:t>
            </w:r>
          </w:p>
          <w:p w14:paraId="7FB00193">
            <w:pPr>
              <w:spacing w:line="360" w:lineRule="auto"/>
              <w:ind w:firstLine="420" w:firstLineChars="200"/>
            </w:pPr>
            <w:r>
              <w:rPr>
                <w:rFonts w:hint="eastAsia"/>
                <w:highlight w:val="none"/>
              </w:rPr>
              <w:t>5、在本次谈判前三年（202</w:t>
            </w:r>
            <w:r>
              <w:rPr>
                <w:rFonts w:hint="eastAsia"/>
                <w:highlight w:val="none"/>
                <w:lang w:val="en-US" w:eastAsia="zh-CN"/>
              </w:rPr>
              <w:t>3</w:t>
            </w:r>
            <w:r>
              <w:rPr>
                <w:rFonts w:hint="eastAsia"/>
                <w:highlight w:val="none"/>
              </w:rPr>
              <w:t>-2026年）内，应无下列不良</w:t>
            </w:r>
            <w:r>
              <w:rPr>
                <w:rFonts w:hint="eastAsia"/>
              </w:rPr>
              <w:t>记录：被行业主管部门通报整改的单位、被责令停业的、被暂停或取消投标资格的、财产被接管或冻结的、在经营活动中有重大违法违规行为。</w:t>
            </w:r>
          </w:p>
          <w:p w14:paraId="51D1FCFC">
            <w:pPr>
              <w:spacing w:line="360" w:lineRule="auto"/>
              <w:ind w:firstLine="420" w:firstLineChars="200"/>
            </w:pPr>
            <w:r>
              <w:rPr>
                <w:rFonts w:hint="eastAsia"/>
              </w:rPr>
              <w:t>6</w:t>
            </w:r>
            <w:r>
              <w:t>、</w:t>
            </w:r>
            <w:r>
              <w:rPr>
                <w:rFonts w:hint="eastAsia"/>
              </w:rPr>
              <w:t>须遵守中华人民共和国有关法律、法规，无重大违法违约行为。“通过“信用中国”网站（www.creditchina.gov.cn）、中国政府招标网（www.ccgp.gov.cn）查询，未被列入失信被执行人、重大税收违法案件当事人、政府招标严重违法失信行为记录名单”，提供查询截屏。</w:t>
            </w:r>
          </w:p>
        </w:tc>
      </w:tr>
      <w:tr w14:paraId="669E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64F3C35D">
            <w:pPr>
              <w:spacing w:line="240" w:lineRule="atLeast"/>
              <w:jc w:val="center"/>
            </w:pPr>
            <w:r>
              <w:rPr>
                <w:rFonts w:hint="eastAsia"/>
              </w:rPr>
              <w:t>1.4.2</w:t>
            </w:r>
          </w:p>
        </w:tc>
        <w:tc>
          <w:tcPr>
            <w:tcW w:w="1660" w:type="dxa"/>
            <w:vAlign w:val="center"/>
          </w:tcPr>
          <w:p w14:paraId="03B2A443">
            <w:pPr>
              <w:spacing w:line="240" w:lineRule="atLeast"/>
              <w:jc w:val="center"/>
            </w:pPr>
            <w:r>
              <w:rPr>
                <w:rFonts w:hint="eastAsia"/>
              </w:rPr>
              <w:t>是否接受联合体</w:t>
            </w:r>
          </w:p>
        </w:tc>
        <w:tc>
          <w:tcPr>
            <w:tcW w:w="7151" w:type="dxa"/>
            <w:gridSpan w:val="2"/>
            <w:vAlign w:val="center"/>
          </w:tcPr>
          <w:p w14:paraId="7BB3CF06">
            <w:pPr>
              <w:spacing w:line="340" w:lineRule="exact"/>
            </w:pPr>
            <w:r>
              <w:rPr>
                <w:rFonts w:hint="eastAsia"/>
              </w:rPr>
              <w:t>不接受</w:t>
            </w:r>
          </w:p>
        </w:tc>
      </w:tr>
      <w:tr w14:paraId="3757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131B53C0">
            <w:pPr>
              <w:spacing w:line="240" w:lineRule="atLeast"/>
              <w:jc w:val="center"/>
            </w:pPr>
            <w:r>
              <w:rPr>
                <w:rFonts w:hint="eastAsia"/>
              </w:rPr>
              <w:t>1.9</w:t>
            </w:r>
          </w:p>
        </w:tc>
        <w:tc>
          <w:tcPr>
            <w:tcW w:w="1660" w:type="dxa"/>
            <w:vAlign w:val="center"/>
          </w:tcPr>
          <w:p w14:paraId="10C07CD9">
            <w:pPr>
              <w:spacing w:line="240" w:lineRule="atLeast"/>
              <w:jc w:val="center"/>
            </w:pPr>
            <w:r>
              <w:rPr>
                <w:rFonts w:hint="eastAsia"/>
              </w:rPr>
              <w:t>是否组织现场踏勘</w:t>
            </w:r>
          </w:p>
        </w:tc>
        <w:tc>
          <w:tcPr>
            <w:tcW w:w="7151" w:type="dxa"/>
            <w:gridSpan w:val="2"/>
            <w:vAlign w:val="center"/>
          </w:tcPr>
          <w:p w14:paraId="443A50D1">
            <w:pPr>
              <w:spacing w:line="340" w:lineRule="exact"/>
            </w:pPr>
            <w:r>
              <w:rPr>
                <w:rFonts w:hint="eastAsia"/>
              </w:rPr>
              <w:t>不统一组织现场踏勘</w:t>
            </w:r>
          </w:p>
        </w:tc>
      </w:tr>
      <w:tr w14:paraId="6A53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489DF1B7">
            <w:pPr>
              <w:spacing w:line="240" w:lineRule="atLeast"/>
              <w:jc w:val="center"/>
            </w:pPr>
            <w:r>
              <w:rPr>
                <w:rFonts w:hint="eastAsia"/>
              </w:rPr>
              <w:t>1.10</w:t>
            </w:r>
          </w:p>
        </w:tc>
        <w:tc>
          <w:tcPr>
            <w:tcW w:w="1660" w:type="dxa"/>
            <w:vAlign w:val="center"/>
          </w:tcPr>
          <w:p w14:paraId="2B2A52FD">
            <w:pPr>
              <w:spacing w:line="240" w:lineRule="atLeast"/>
              <w:jc w:val="center"/>
            </w:pPr>
            <w:r>
              <w:rPr>
                <w:rFonts w:hint="eastAsia"/>
              </w:rPr>
              <w:t>谈判预备会</w:t>
            </w:r>
          </w:p>
        </w:tc>
        <w:tc>
          <w:tcPr>
            <w:tcW w:w="7151" w:type="dxa"/>
            <w:gridSpan w:val="2"/>
            <w:vAlign w:val="center"/>
          </w:tcPr>
          <w:p w14:paraId="58567198">
            <w:pPr>
              <w:spacing w:line="340" w:lineRule="exact"/>
            </w:pPr>
            <w:r>
              <w:rPr>
                <w:rFonts w:hint="eastAsia"/>
              </w:rPr>
              <w:t>不召开</w:t>
            </w:r>
          </w:p>
        </w:tc>
      </w:tr>
      <w:tr w14:paraId="55C7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958" w:type="dxa"/>
            <w:vAlign w:val="center"/>
          </w:tcPr>
          <w:p w14:paraId="54F2B859">
            <w:pPr>
              <w:jc w:val="center"/>
            </w:pPr>
            <w:r>
              <w:rPr>
                <w:rFonts w:hint="eastAsia"/>
              </w:rPr>
              <w:t>2.1.1</w:t>
            </w:r>
          </w:p>
        </w:tc>
        <w:tc>
          <w:tcPr>
            <w:tcW w:w="1660" w:type="dxa"/>
            <w:vAlign w:val="center"/>
          </w:tcPr>
          <w:p w14:paraId="7E8ACCD7">
            <w:pPr>
              <w:spacing w:line="360" w:lineRule="exact"/>
              <w:jc w:val="center"/>
            </w:pPr>
            <w:r>
              <w:rPr>
                <w:rFonts w:hint="eastAsia"/>
              </w:rPr>
              <w:t>谈判文件的发布</w:t>
            </w:r>
          </w:p>
        </w:tc>
        <w:tc>
          <w:tcPr>
            <w:tcW w:w="7151" w:type="dxa"/>
            <w:gridSpan w:val="2"/>
            <w:vAlign w:val="center"/>
          </w:tcPr>
          <w:p w14:paraId="1C9E6D06">
            <w:pPr>
              <w:spacing w:line="340" w:lineRule="exact"/>
            </w:pPr>
            <w:r>
              <w:rPr>
                <w:rFonts w:hint="eastAsia"/>
              </w:rPr>
              <w:t>本谈判文件在济钢集团有限公司阳光购销平台（网址：</w:t>
            </w:r>
            <w:r>
              <w:rPr>
                <w:rFonts w:hint="eastAsia"/>
              </w:rPr>
              <w:fldChar w:fldCharType="begin"/>
            </w:r>
            <w:r>
              <w:instrText xml:space="preserve"> HYPERLINK "http://bidding.jigang.com.cn" </w:instrText>
            </w:r>
            <w:r>
              <w:rPr>
                <w:rFonts w:hint="eastAsia"/>
              </w:rPr>
              <w:fldChar w:fldCharType="separate"/>
            </w:r>
            <w:r>
              <w:rPr>
                <w:rFonts w:hint="eastAsia"/>
              </w:rPr>
              <w:t>http://bidding.jigang.com.cn</w:t>
            </w:r>
            <w:r>
              <w:rPr>
                <w:rFonts w:hint="eastAsia"/>
              </w:rPr>
              <w:fldChar w:fldCharType="end"/>
            </w:r>
            <w:r>
              <w:rPr>
                <w:rFonts w:hint="eastAsia"/>
              </w:rPr>
              <w:t>/） 上发布。除上述媒介以外的媒介转载或发布与本次谈判相关信息的，采购人不承担任何责任并保留追究相关方责任的权利。</w:t>
            </w:r>
          </w:p>
        </w:tc>
      </w:tr>
      <w:tr w14:paraId="722D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945F69D">
            <w:pPr>
              <w:jc w:val="center"/>
            </w:pPr>
            <w:r>
              <w:rPr>
                <w:rFonts w:hint="eastAsia"/>
              </w:rPr>
              <w:t>2.2.2</w:t>
            </w:r>
          </w:p>
        </w:tc>
        <w:tc>
          <w:tcPr>
            <w:tcW w:w="1660" w:type="dxa"/>
            <w:vAlign w:val="center"/>
          </w:tcPr>
          <w:p w14:paraId="1866EDDD">
            <w:pPr>
              <w:spacing w:line="442" w:lineRule="exact"/>
              <w:jc w:val="center"/>
            </w:pPr>
            <w:r>
              <w:rPr>
                <w:rFonts w:hint="eastAsia"/>
              </w:rPr>
              <w:t>谈判</w:t>
            </w:r>
            <w:r>
              <w:t>文件的</w:t>
            </w:r>
            <w:r>
              <w:rPr>
                <w:rFonts w:hint="eastAsia"/>
              </w:rPr>
              <w:t>澄清</w:t>
            </w:r>
          </w:p>
        </w:tc>
        <w:tc>
          <w:tcPr>
            <w:tcW w:w="7151" w:type="dxa"/>
            <w:gridSpan w:val="2"/>
            <w:tcBorders>
              <w:bottom w:val="single" w:color="auto" w:sz="4" w:space="0"/>
            </w:tcBorders>
            <w:vAlign w:val="center"/>
          </w:tcPr>
          <w:p w14:paraId="05A10DBC">
            <w:pPr>
              <w:spacing w:line="398" w:lineRule="exact"/>
            </w:pPr>
            <w:r>
              <w:rPr>
                <w:rFonts w:hint="eastAsia"/>
              </w:rPr>
              <w:t>谈判</w:t>
            </w:r>
            <w:r>
              <w:t>文件</w:t>
            </w:r>
            <w:r>
              <w:rPr>
                <w:rFonts w:hint="eastAsia"/>
              </w:rPr>
              <w:t>澄清的</w:t>
            </w:r>
            <w:r>
              <w:t>截止时间</w:t>
            </w:r>
            <w:r>
              <w:rPr>
                <w:rFonts w:hint="eastAsia"/>
              </w:rPr>
              <w:t>为谈判开始前2</w:t>
            </w:r>
            <w:r>
              <w:t>日</w:t>
            </w:r>
            <w:r>
              <w:rPr>
                <w:rFonts w:hint="eastAsia"/>
              </w:rPr>
              <w:t>，在济钢集团有限公司阳光购销平台（网址：</w:t>
            </w:r>
            <w:r>
              <w:rPr>
                <w:rFonts w:hint="eastAsia"/>
              </w:rPr>
              <w:fldChar w:fldCharType="begin"/>
            </w:r>
            <w:r>
              <w:instrText xml:space="preserve"> HYPERLINK "http://bidding.jigang.com.cn" </w:instrText>
            </w:r>
            <w:r>
              <w:rPr>
                <w:rFonts w:hint="eastAsia"/>
              </w:rPr>
              <w:fldChar w:fldCharType="separate"/>
            </w:r>
            <w:r>
              <w:rPr>
                <w:rFonts w:hint="eastAsia"/>
              </w:rPr>
              <w:t>http://bidding.jigang.com.cn</w:t>
            </w:r>
            <w:r>
              <w:rPr>
                <w:rFonts w:hint="eastAsia"/>
              </w:rPr>
              <w:fldChar w:fldCharType="end"/>
            </w:r>
            <w:r>
              <w:rPr>
                <w:rFonts w:hint="eastAsia"/>
              </w:rPr>
              <w:t>/） 上发布</w:t>
            </w:r>
          </w:p>
        </w:tc>
      </w:tr>
      <w:tr w14:paraId="2A95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47361D44">
            <w:pPr>
              <w:jc w:val="center"/>
            </w:pPr>
            <w:r>
              <w:rPr>
                <w:rFonts w:hint="eastAsia"/>
              </w:rPr>
              <w:t>2.3</w:t>
            </w:r>
          </w:p>
        </w:tc>
        <w:tc>
          <w:tcPr>
            <w:tcW w:w="1660" w:type="dxa"/>
            <w:vAlign w:val="center"/>
          </w:tcPr>
          <w:p w14:paraId="6F68B38C">
            <w:pPr>
              <w:spacing w:line="360" w:lineRule="exact"/>
              <w:jc w:val="center"/>
            </w:pPr>
            <w:r>
              <w:rPr>
                <w:rFonts w:hint="eastAsia"/>
              </w:rPr>
              <w:t>谈判</w:t>
            </w:r>
            <w:r>
              <w:t>文件</w:t>
            </w:r>
            <w:r>
              <w:rPr>
                <w:rFonts w:hint="eastAsia"/>
              </w:rPr>
              <w:t>的</w:t>
            </w:r>
            <w:r>
              <w:t>修改</w:t>
            </w:r>
          </w:p>
        </w:tc>
        <w:tc>
          <w:tcPr>
            <w:tcW w:w="7151" w:type="dxa"/>
            <w:gridSpan w:val="2"/>
            <w:tcBorders>
              <w:bottom w:val="single" w:color="auto" w:sz="4" w:space="0"/>
            </w:tcBorders>
            <w:vAlign w:val="center"/>
          </w:tcPr>
          <w:p w14:paraId="7FE169D4">
            <w:pPr>
              <w:spacing w:line="398" w:lineRule="exact"/>
            </w:pPr>
            <w:r>
              <w:rPr>
                <w:rFonts w:hint="eastAsia"/>
              </w:rPr>
              <w:t>谈判文件修改的截止时间为谈判开始前2日，在济钢集团有限公司阳光购销平台（网址：</w:t>
            </w:r>
            <w:r>
              <w:rPr>
                <w:rFonts w:hint="eastAsia"/>
              </w:rPr>
              <w:fldChar w:fldCharType="begin"/>
            </w:r>
            <w:r>
              <w:instrText xml:space="preserve"> HYPERLINK "http://bidding.jigang.com.cn" </w:instrText>
            </w:r>
            <w:r>
              <w:rPr>
                <w:rFonts w:hint="eastAsia"/>
              </w:rPr>
              <w:fldChar w:fldCharType="separate"/>
            </w:r>
            <w:r>
              <w:rPr>
                <w:rFonts w:hint="eastAsia"/>
              </w:rPr>
              <w:t>http://bidding.jigang.com.cn</w:t>
            </w:r>
            <w:r>
              <w:rPr>
                <w:rFonts w:hint="eastAsia"/>
              </w:rPr>
              <w:fldChar w:fldCharType="end"/>
            </w:r>
            <w:r>
              <w:rPr>
                <w:rFonts w:hint="eastAsia"/>
              </w:rPr>
              <w:t>/） 上发布。采购人对谈判文件修改距谈判时间不足2天的，相应延长谈判开始时间。</w:t>
            </w:r>
          </w:p>
        </w:tc>
      </w:tr>
      <w:tr w14:paraId="5955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11B1976">
            <w:pPr>
              <w:jc w:val="center"/>
            </w:pPr>
            <w:r>
              <w:rPr>
                <w:rFonts w:hint="eastAsia"/>
              </w:rPr>
              <w:t>2.1.5</w:t>
            </w:r>
          </w:p>
        </w:tc>
        <w:tc>
          <w:tcPr>
            <w:tcW w:w="1660" w:type="dxa"/>
            <w:vAlign w:val="center"/>
          </w:tcPr>
          <w:p w14:paraId="75A94BE6">
            <w:pPr>
              <w:spacing w:line="360" w:lineRule="exact"/>
            </w:pPr>
            <w:r>
              <w:rPr>
                <w:rFonts w:hint="eastAsia"/>
              </w:rPr>
              <w:t>构成谈判文件的其他材料</w:t>
            </w:r>
          </w:p>
        </w:tc>
        <w:tc>
          <w:tcPr>
            <w:tcW w:w="7151" w:type="dxa"/>
            <w:gridSpan w:val="2"/>
            <w:tcBorders>
              <w:bottom w:val="single" w:color="auto" w:sz="4" w:space="0"/>
            </w:tcBorders>
            <w:vAlign w:val="center"/>
          </w:tcPr>
          <w:p w14:paraId="5BA9C59A">
            <w:pPr>
              <w:spacing w:line="340" w:lineRule="exact"/>
            </w:pPr>
            <w:r>
              <w:rPr>
                <w:rFonts w:hint="eastAsia"/>
              </w:rPr>
              <w:t>谈判文件澄清、答疑、补充文件等</w:t>
            </w:r>
          </w:p>
        </w:tc>
      </w:tr>
      <w:tr w14:paraId="38FD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1BB277BE">
            <w:pPr>
              <w:jc w:val="center"/>
            </w:pPr>
            <w:r>
              <w:rPr>
                <w:rFonts w:hint="eastAsia"/>
              </w:rPr>
              <w:t>3.1.1</w:t>
            </w:r>
          </w:p>
        </w:tc>
        <w:tc>
          <w:tcPr>
            <w:tcW w:w="1660" w:type="dxa"/>
            <w:vAlign w:val="center"/>
          </w:tcPr>
          <w:p w14:paraId="6A7986AB">
            <w:pPr>
              <w:spacing w:line="360" w:lineRule="exact"/>
              <w:jc w:val="center"/>
            </w:pPr>
            <w:r>
              <w:rPr>
                <w:rFonts w:hint="eastAsia"/>
              </w:rPr>
              <w:t>响应文件内容</w:t>
            </w:r>
          </w:p>
        </w:tc>
        <w:tc>
          <w:tcPr>
            <w:tcW w:w="7151" w:type="dxa"/>
            <w:gridSpan w:val="2"/>
            <w:tcBorders>
              <w:bottom w:val="single" w:color="auto" w:sz="4" w:space="0"/>
            </w:tcBorders>
            <w:vAlign w:val="center"/>
          </w:tcPr>
          <w:p w14:paraId="66BF5800">
            <w:pPr>
              <w:spacing w:line="340" w:lineRule="exact"/>
            </w:pPr>
            <w:r>
              <w:rPr>
                <w:rFonts w:hint="eastAsia"/>
              </w:rPr>
              <w:t>谈判文件商务、技术部分内容</w:t>
            </w:r>
          </w:p>
        </w:tc>
      </w:tr>
      <w:tr w14:paraId="0213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shd w:val="clear" w:color="auto" w:fill="auto"/>
            <w:vAlign w:val="center"/>
          </w:tcPr>
          <w:p w14:paraId="33A3F565">
            <w:pPr>
              <w:jc w:val="center"/>
            </w:pPr>
            <w:r>
              <w:rPr>
                <w:rFonts w:hint="eastAsia"/>
              </w:rPr>
              <w:t>3.2.1</w:t>
            </w:r>
          </w:p>
        </w:tc>
        <w:tc>
          <w:tcPr>
            <w:tcW w:w="1660" w:type="dxa"/>
            <w:shd w:val="clear" w:color="auto" w:fill="auto"/>
            <w:vAlign w:val="center"/>
          </w:tcPr>
          <w:p w14:paraId="5E590FBD">
            <w:pPr>
              <w:spacing w:line="340" w:lineRule="exact"/>
              <w:jc w:val="center"/>
            </w:pPr>
            <w:r>
              <w:rPr>
                <w:rFonts w:hint="eastAsia"/>
              </w:rPr>
              <w:t>报价</w:t>
            </w:r>
          </w:p>
        </w:tc>
        <w:tc>
          <w:tcPr>
            <w:tcW w:w="7151" w:type="dxa"/>
            <w:gridSpan w:val="2"/>
            <w:shd w:val="clear" w:color="auto" w:fill="FFFFFF"/>
            <w:vAlign w:val="center"/>
          </w:tcPr>
          <w:p w14:paraId="7DF56417">
            <w:pPr>
              <w:spacing w:line="340" w:lineRule="exact"/>
            </w:pPr>
            <w:r>
              <w:rPr>
                <w:rFonts w:hint="eastAsia"/>
              </w:rPr>
              <w:t xml:space="preserve">1.报价方式：总价。 </w:t>
            </w:r>
          </w:p>
          <w:p w14:paraId="7EB9C7DC">
            <w:pPr>
              <w:spacing w:line="340" w:lineRule="exact"/>
            </w:pPr>
            <w:r>
              <w:rPr>
                <w:rFonts w:hint="eastAsia"/>
              </w:rPr>
              <w:t>2.报价币种：人民币。</w:t>
            </w:r>
          </w:p>
          <w:p w14:paraId="24B56D1D">
            <w:pPr>
              <w:spacing w:line="340" w:lineRule="exact"/>
            </w:pPr>
            <w:r>
              <w:rPr>
                <w:rFonts w:hint="eastAsia"/>
              </w:rPr>
              <w:t>3.报价为</w:t>
            </w:r>
            <w:r>
              <w:rPr>
                <w:rFonts w:hint="eastAsia"/>
                <w:highlight w:val="none"/>
              </w:rPr>
              <w:t>含6%增值税价格。</w:t>
            </w:r>
          </w:p>
        </w:tc>
      </w:tr>
      <w:tr w14:paraId="6665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58D0DB95">
            <w:pPr>
              <w:jc w:val="center"/>
            </w:pPr>
            <w:r>
              <w:rPr>
                <w:rFonts w:hint="eastAsia"/>
              </w:rPr>
              <w:t>3.3.1</w:t>
            </w:r>
          </w:p>
        </w:tc>
        <w:tc>
          <w:tcPr>
            <w:tcW w:w="1660" w:type="dxa"/>
            <w:vAlign w:val="center"/>
          </w:tcPr>
          <w:p w14:paraId="241552D8">
            <w:pPr>
              <w:spacing w:line="360" w:lineRule="exact"/>
              <w:jc w:val="center"/>
            </w:pPr>
            <w:r>
              <w:rPr>
                <w:rFonts w:hint="eastAsia"/>
              </w:rPr>
              <w:t>谈判有效期</w:t>
            </w:r>
          </w:p>
        </w:tc>
        <w:tc>
          <w:tcPr>
            <w:tcW w:w="7151" w:type="dxa"/>
            <w:gridSpan w:val="2"/>
            <w:vAlign w:val="center"/>
          </w:tcPr>
          <w:p w14:paraId="2AD7A433">
            <w:pPr>
              <w:spacing w:line="340" w:lineRule="exact"/>
            </w:pPr>
            <w:r>
              <w:rPr>
                <w:rFonts w:hint="eastAsia"/>
              </w:rPr>
              <w:t>90日历天（自</w:t>
            </w:r>
            <w:r>
              <w:t>递交</w:t>
            </w:r>
            <w:r>
              <w:rPr>
                <w:rFonts w:hint="eastAsia"/>
              </w:rPr>
              <w:t>响应</w:t>
            </w:r>
            <w:r>
              <w:t>文件截止</w:t>
            </w:r>
            <w:r>
              <w:rPr>
                <w:rFonts w:hint="eastAsia"/>
              </w:rPr>
              <w:t>之日起）</w:t>
            </w:r>
          </w:p>
        </w:tc>
      </w:tr>
      <w:tr w14:paraId="20EB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1CF04506">
            <w:pPr>
              <w:jc w:val="center"/>
            </w:pPr>
            <w:r>
              <w:rPr>
                <w:rFonts w:hint="eastAsia"/>
              </w:rPr>
              <w:t>3.5.1</w:t>
            </w:r>
          </w:p>
        </w:tc>
        <w:tc>
          <w:tcPr>
            <w:tcW w:w="1660" w:type="dxa"/>
            <w:vAlign w:val="center"/>
          </w:tcPr>
          <w:p w14:paraId="02682CC5">
            <w:pPr>
              <w:spacing w:line="360" w:lineRule="exact"/>
              <w:jc w:val="center"/>
            </w:pPr>
            <w:r>
              <w:rPr>
                <w:rFonts w:hint="eastAsia"/>
              </w:rPr>
              <w:t>资格审查</w:t>
            </w:r>
          </w:p>
        </w:tc>
        <w:tc>
          <w:tcPr>
            <w:tcW w:w="7151" w:type="dxa"/>
            <w:gridSpan w:val="2"/>
            <w:vAlign w:val="center"/>
          </w:tcPr>
          <w:p w14:paraId="547D28F4">
            <w:pPr>
              <w:spacing w:line="340" w:lineRule="exact"/>
            </w:pPr>
            <w:r>
              <w:t>1、</w:t>
            </w:r>
            <w:r>
              <w:rPr>
                <w:rFonts w:hint="eastAsia"/>
              </w:rPr>
              <w:t>资格审查文件上传至济钢集团有限公司阳光购销平台（网址：</w:t>
            </w:r>
            <w:r>
              <w:rPr>
                <w:rFonts w:hint="eastAsia"/>
              </w:rPr>
              <w:fldChar w:fldCharType="begin"/>
            </w:r>
            <w:r>
              <w:instrText xml:space="preserve"> HYPERLINK "http://bidding.jigang.com.cn" </w:instrText>
            </w:r>
            <w:r>
              <w:rPr>
                <w:rFonts w:hint="eastAsia"/>
              </w:rPr>
              <w:fldChar w:fldCharType="separate"/>
            </w:r>
            <w:r>
              <w:rPr>
                <w:rFonts w:hint="eastAsia"/>
              </w:rPr>
              <w:t>http://bidding.jigang.com.cn</w:t>
            </w:r>
            <w:r>
              <w:rPr>
                <w:rFonts w:hint="eastAsia"/>
              </w:rPr>
              <w:fldChar w:fldCharType="end"/>
            </w:r>
            <w:r>
              <w:rPr>
                <w:rFonts w:hint="eastAsia"/>
              </w:rPr>
              <w:t>/）。</w:t>
            </w:r>
          </w:p>
          <w:p w14:paraId="5A18C609">
            <w:pPr>
              <w:spacing w:line="340" w:lineRule="exact"/>
            </w:pPr>
            <w:r>
              <w:rPr>
                <w:rFonts w:hint="eastAsia"/>
              </w:rPr>
              <w:t>2、评审</w:t>
            </w:r>
            <w:r>
              <w:t>委员会对</w:t>
            </w:r>
            <w:r>
              <w:rPr>
                <w:rFonts w:hint="eastAsia"/>
              </w:rPr>
              <w:t>供应商</w:t>
            </w:r>
            <w:r>
              <w:t>的</w:t>
            </w:r>
            <w:r>
              <w:rPr>
                <w:rFonts w:hint="eastAsia"/>
              </w:rPr>
              <w:t>资格审查文件</w:t>
            </w:r>
            <w:r>
              <w:t>进行评审。评审合格的进入下一阶段评审；评审不合格的</w:t>
            </w:r>
            <w:r>
              <w:rPr>
                <w:rFonts w:hint="eastAsia"/>
              </w:rPr>
              <w:t>取消其谈判资格</w:t>
            </w:r>
            <w:r>
              <w:t>，</w:t>
            </w:r>
            <w:r>
              <w:rPr>
                <w:rFonts w:hint="eastAsia"/>
              </w:rPr>
              <w:t>购买谈判文件的费用</w:t>
            </w:r>
            <w:r>
              <w:t>不退。</w:t>
            </w:r>
          </w:p>
          <w:p w14:paraId="1C63A2B1">
            <w:pPr>
              <w:spacing w:line="340" w:lineRule="exact"/>
            </w:pPr>
            <w:r>
              <w:rPr>
                <w:rFonts w:hint="eastAsia"/>
              </w:rPr>
              <w:t>3</w:t>
            </w:r>
            <w:r>
              <w:t>、</w:t>
            </w:r>
            <w:r>
              <w:rPr>
                <w:rFonts w:hint="eastAsia"/>
              </w:rPr>
              <w:t>资格审查文件包括但不限于：营业执照、资质证书、体系认证、资信等级、人员资格证书、业绩合同、获奖证书等的复印件，加盖公章。</w:t>
            </w:r>
          </w:p>
        </w:tc>
      </w:tr>
      <w:tr w14:paraId="63AD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660EDFC8">
            <w:pPr>
              <w:jc w:val="center"/>
            </w:pPr>
            <w:r>
              <w:rPr>
                <w:rFonts w:hint="eastAsia"/>
              </w:rPr>
              <w:t>3.6.1</w:t>
            </w:r>
          </w:p>
        </w:tc>
        <w:tc>
          <w:tcPr>
            <w:tcW w:w="1660" w:type="dxa"/>
            <w:vAlign w:val="center"/>
          </w:tcPr>
          <w:p w14:paraId="192F98B3">
            <w:pPr>
              <w:spacing w:line="360" w:lineRule="exact"/>
            </w:pPr>
            <w:r>
              <w:rPr>
                <w:rFonts w:hint="eastAsia"/>
              </w:rPr>
              <w:t>近3年财务状况的年份要求</w:t>
            </w:r>
          </w:p>
        </w:tc>
        <w:tc>
          <w:tcPr>
            <w:tcW w:w="7151" w:type="dxa"/>
            <w:gridSpan w:val="2"/>
            <w:vAlign w:val="center"/>
          </w:tcPr>
          <w:p w14:paraId="47562C71">
            <w:pPr>
              <w:spacing w:line="340" w:lineRule="exact"/>
            </w:pPr>
            <w:r>
              <w:rPr>
                <w:rFonts w:hint="eastAsia"/>
                <w:highlight w:val="none"/>
              </w:rPr>
              <w:t>202</w:t>
            </w:r>
            <w:r>
              <w:rPr>
                <w:rFonts w:hint="eastAsia"/>
                <w:highlight w:val="none"/>
                <w:lang w:val="en-US" w:eastAsia="zh-CN"/>
              </w:rPr>
              <w:t>3</w:t>
            </w:r>
            <w:r>
              <w:rPr>
                <w:rFonts w:hint="eastAsia"/>
                <w:highlight w:val="none"/>
              </w:rPr>
              <w:t>年</w:t>
            </w:r>
            <w:r>
              <w:rPr>
                <w:rFonts w:hint="eastAsia"/>
              </w:rPr>
              <w:t>01月01日至今。</w:t>
            </w:r>
          </w:p>
        </w:tc>
      </w:tr>
      <w:tr w14:paraId="424B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94038F9">
            <w:pPr>
              <w:jc w:val="center"/>
            </w:pPr>
            <w:r>
              <w:rPr>
                <w:rFonts w:hint="eastAsia"/>
              </w:rPr>
              <w:t>3.6.2</w:t>
            </w:r>
          </w:p>
        </w:tc>
        <w:tc>
          <w:tcPr>
            <w:tcW w:w="1660" w:type="dxa"/>
            <w:vAlign w:val="center"/>
          </w:tcPr>
          <w:p w14:paraId="1FD11DA5">
            <w:pPr>
              <w:spacing w:line="360" w:lineRule="exact"/>
            </w:pPr>
            <w:r>
              <w:rPr>
                <w:rFonts w:hint="eastAsia"/>
              </w:rPr>
              <w:t>近3年完成的类似项目</w:t>
            </w:r>
          </w:p>
        </w:tc>
        <w:tc>
          <w:tcPr>
            <w:tcW w:w="7151" w:type="dxa"/>
            <w:gridSpan w:val="2"/>
            <w:vAlign w:val="center"/>
          </w:tcPr>
          <w:p w14:paraId="43690F10">
            <w:pPr>
              <w:spacing w:line="340" w:lineRule="exact"/>
            </w:pPr>
            <w:r>
              <w:rPr>
                <w:rFonts w:hint="eastAsia"/>
              </w:rPr>
              <w:t>202</w:t>
            </w:r>
            <w:r>
              <w:rPr>
                <w:rFonts w:hint="eastAsia"/>
                <w:lang w:val="en-US" w:eastAsia="zh-CN"/>
              </w:rPr>
              <w:t>3</w:t>
            </w:r>
            <w:r>
              <w:rPr>
                <w:rFonts w:hint="eastAsia"/>
              </w:rPr>
              <w:t>年01月01日至今。</w:t>
            </w:r>
          </w:p>
        </w:tc>
      </w:tr>
      <w:tr w14:paraId="1799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190BFEED">
            <w:pPr>
              <w:jc w:val="center"/>
            </w:pPr>
            <w:r>
              <w:rPr>
                <w:rFonts w:hint="eastAsia"/>
              </w:rPr>
              <w:t>3.6.3</w:t>
            </w:r>
          </w:p>
        </w:tc>
        <w:tc>
          <w:tcPr>
            <w:tcW w:w="1660" w:type="dxa"/>
            <w:vAlign w:val="center"/>
          </w:tcPr>
          <w:p w14:paraId="124CE73F">
            <w:pPr>
              <w:spacing w:line="360" w:lineRule="exact"/>
            </w:pPr>
            <w:r>
              <w:rPr>
                <w:rFonts w:hint="eastAsia"/>
              </w:rPr>
              <w:t>近3年发生的诉讼及仲裁情况的年份要求</w:t>
            </w:r>
          </w:p>
        </w:tc>
        <w:tc>
          <w:tcPr>
            <w:tcW w:w="7151" w:type="dxa"/>
            <w:gridSpan w:val="2"/>
            <w:vAlign w:val="center"/>
          </w:tcPr>
          <w:p w14:paraId="2E192702">
            <w:pPr>
              <w:spacing w:line="340" w:lineRule="exact"/>
            </w:pPr>
            <w:r>
              <w:rPr>
                <w:rFonts w:hint="eastAsia"/>
              </w:rPr>
              <w:t>202</w:t>
            </w:r>
            <w:r>
              <w:rPr>
                <w:rFonts w:hint="eastAsia"/>
                <w:lang w:val="en-US" w:eastAsia="zh-CN"/>
              </w:rPr>
              <w:t>3</w:t>
            </w:r>
            <w:r>
              <w:rPr>
                <w:rFonts w:hint="eastAsia"/>
              </w:rPr>
              <w:t>年01月01日至今。</w:t>
            </w:r>
          </w:p>
        </w:tc>
      </w:tr>
      <w:tr w14:paraId="1EC2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958" w:type="dxa"/>
            <w:vAlign w:val="center"/>
          </w:tcPr>
          <w:p w14:paraId="5CAC1376">
            <w:pPr>
              <w:jc w:val="center"/>
            </w:pPr>
            <w:r>
              <w:rPr>
                <w:rFonts w:hint="eastAsia"/>
              </w:rPr>
              <w:t>3.7.1</w:t>
            </w:r>
          </w:p>
        </w:tc>
        <w:tc>
          <w:tcPr>
            <w:tcW w:w="1660" w:type="dxa"/>
            <w:vAlign w:val="center"/>
          </w:tcPr>
          <w:p w14:paraId="215CF57E">
            <w:pPr>
              <w:spacing w:line="360" w:lineRule="exact"/>
              <w:jc w:val="center"/>
            </w:pPr>
            <w:r>
              <w:rPr>
                <w:rFonts w:hint="eastAsia"/>
              </w:rPr>
              <w:t>签字或盖章要求</w:t>
            </w:r>
          </w:p>
        </w:tc>
        <w:tc>
          <w:tcPr>
            <w:tcW w:w="7151" w:type="dxa"/>
            <w:gridSpan w:val="2"/>
            <w:vAlign w:val="center"/>
          </w:tcPr>
          <w:p w14:paraId="3A5670B7">
            <w:pPr>
              <w:spacing w:line="340" w:lineRule="exact"/>
            </w:pPr>
            <w:r>
              <w:rPr>
                <w:rFonts w:hint="eastAsia"/>
              </w:rPr>
              <w:t>响应文件应按第五章“响应文件格式及内容”要求进行签字或盖章，否则其响应文件按照无效处理。</w:t>
            </w:r>
          </w:p>
        </w:tc>
      </w:tr>
      <w:tr w14:paraId="0646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8" w:type="dxa"/>
            <w:vAlign w:val="center"/>
          </w:tcPr>
          <w:p w14:paraId="7EAAA205">
            <w:pPr>
              <w:jc w:val="center"/>
            </w:pPr>
            <w:r>
              <w:rPr>
                <w:rFonts w:hint="eastAsia"/>
              </w:rPr>
              <w:t>3.7.2</w:t>
            </w:r>
          </w:p>
        </w:tc>
        <w:tc>
          <w:tcPr>
            <w:tcW w:w="1660" w:type="dxa"/>
            <w:vAlign w:val="center"/>
          </w:tcPr>
          <w:p w14:paraId="09A1BCB2">
            <w:pPr>
              <w:spacing w:line="360" w:lineRule="exact"/>
              <w:jc w:val="center"/>
            </w:pPr>
            <w:r>
              <w:rPr>
                <w:rFonts w:hint="eastAsia"/>
              </w:rPr>
              <w:t>响应文件</w:t>
            </w:r>
          </w:p>
        </w:tc>
        <w:tc>
          <w:tcPr>
            <w:tcW w:w="7151" w:type="dxa"/>
            <w:gridSpan w:val="2"/>
            <w:vAlign w:val="center"/>
          </w:tcPr>
          <w:p w14:paraId="1A9BCCFC">
            <w:pPr>
              <w:spacing w:line="340" w:lineRule="exact"/>
              <w:rPr>
                <w:b/>
              </w:rPr>
            </w:pPr>
            <w:r>
              <w:rPr>
                <w:rFonts w:hint="eastAsia"/>
              </w:rPr>
              <w:t>上传至济钢集团有限公司阳光购销平台（网址：</w:t>
            </w:r>
            <w:r>
              <w:rPr>
                <w:rFonts w:hint="eastAsia"/>
              </w:rPr>
              <w:fldChar w:fldCharType="begin"/>
            </w:r>
            <w:r>
              <w:instrText xml:space="preserve"> HYPERLINK "http://bidding.jigang.com.cn" </w:instrText>
            </w:r>
            <w:r>
              <w:rPr>
                <w:rFonts w:hint="eastAsia"/>
              </w:rPr>
              <w:fldChar w:fldCharType="separate"/>
            </w:r>
            <w:r>
              <w:rPr>
                <w:rFonts w:hint="eastAsia"/>
              </w:rPr>
              <w:t>http://bidding.jigang.com.cn</w:t>
            </w:r>
            <w:r>
              <w:rPr>
                <w:rFonts w:hint="eastAsia"/>
              </w:rPr>
              <w:fldChar w:fldCharType="end"/>
            </w:r>
            <w:r>
              <w:rPr>
                <w:rFonts w:hint="eastAsia"/>
              </w:rPr>
              <w:t>/）</w:t>
            </w:r>
          </w:p>
        </w:tc>
      </w:tr>
      <w:tr w14:paraId="37FA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58" w:type="dxa"/>
            <w:vAlign w:val="center"/>
          </w:tcPr>
          <w:p w14:paraId="3A14BF1E">
            <w:pPr>
              <w:jc w:val="center"/>
            </w:pPr>
            <w:r>
              <w:rPr>
                <w:rFonts w:hint="eastAsia"/>
              </w:rPr>
              <w:t>3.7.3</w:t>
            </w:r>
          </w:p>
        </w:tc>
        <w:tc>
          <w:tcPr>
            <w:tcW w:w="1660" w:type="dxa"/>
            <w:vAlign w:val="center"/>
          </w:tcPr>
          <w:p w14:paraId="5ED695B3">
            <w:pPr>
              <w:spacing w:line="360" w:lineRule="exact"/>
              <w:ind w:left="210" w:hanging="210" w:hangingChars="100"/>
              <w:jc w:val="center"/>
            </w:pPr>
            <w:r>
              <w:rPr>
                <w:rFonts w:hint="eastAsia"/>
              </w:rPr>
              <w:t>纸质响应文件装订要求</w:t>
            </w:r>
          </w:p>
        </w:tc>
        <w:tc>
          <w:tcPr>
            <w:tcW w:w="7151" w:type="dxa"/>
            <w:gridSpan w:val="2"/>
            <w:vAlign w:val="center"/>
          </w:tcPr>
          <w:p w14:paraId="00A4DF8C">
            <w:pPr>
              <w:spacing w:line="340" w:lineRule="exact"/>
              <w:rPr>
                <w:bCs/>
              </w:rPr>
            </w:pPr>
            <w:r>
              <w:rPr>
                <w:rFonts w:hint="eastAsia"/>
                <w:bCs/>
              </w:rPr>
              <w:t>1、成交人提供响应文件</w:t>
            </w:r>
            <w:r>
              <w:rPr>
                <w:rFonts w:hint="eastAsia"/>
              </w:rPr>
              <w:t>正本壹份，副本贰份；</w:t>
            </w:r>
            <w:r>
              <w:rPr>
                <w:rFonts w:hint="eastAsia"/>
                <w:bCs/>
              </w:rPr>
              <w:t>响应文件的正本与副本应分别装订成册。</w:t>
            </w:r>
          </w:p>
          <w:p w14:paraId="15F296A2">
            <w:pPr>
              <w:spacing w:line="340" w:lineRule="exact"/>
              <w:rPr>
                <w:bCs/>
              </w:rPr>
            </w:pPr>
            <w:r>
              <w:rPr>
                <w:rFonts w:hint="eastAsia"/>
                <w:bCs/>
              </w:rPr>
              <w:t>2、响应文件每册均须采用胶装方式在左侧装订，装订须牢固不易拆散和换页，不得采用活页方式装订。</w:t>
            </w:r>
          </w:p>
          <w:p w14:paraId="0375CDFE">
            <w:pPr>
              <w:spacing w:line="340" w:lineRule="exact"/>
            </w:pPr>
            <w:r>
              <w:rPr>
                <w:rFonts w:hint="eastAsia"/>
                <w:bCs/>
              </w:rPr>
              <w:t>3、响应文件正本和副本的封面上应清楚地标记“正本”或“副本”的字样；正本和副本如有不一致之处，以正本为准。</w:t>
            </w:r>
          </w:p>
        </w:tc>
      </w:tr>
      <w:tr w14:paraId="6C56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2D20D5E4">
            <w:pPr>
              <w:jc w:val="center"/>
            </w:pPr>
            <w:r>
              <w:rPr>
                <w:rFonts w:hint="eastAsia"/>
              </w:rPr>
              <w:t>3.7.4</w:t>
            </w:r>
          </w:p>
        </w:tc>
        <w:tc>
          <w:tcPr>
            <w:tcW w:w="1660" w:type="dxa"/>
            <w:vAlign w:val="center"/>
          </w:tcPr>
          <w:p w14:paraId="21E7F3B4">
            <w:pPr>
              <w:spacing w:line="360" w:lineRule="exact"/>
              <w:ind w:left="210" w:hanging="210" w:hangingChars="100"/>
              <w:jc w:val="center"/>
            </w:pPr>
            <w:r>
              <w:rPr>
                <w:rFonts w:hint="eastAsia"/>
              </w:rPr>
              <w:t>电子文档</w:t>
            </w:r>
          </w:p>
        </w:tc>
        <w:tc>
          <w:tcPr>
            <w:tcW w:w="7151" w:type="dxa"/>
            <w:gridSpan w:val="2"/>
            <w:vAlign w:val="center"/>
          </w:tcPr>
          <w:p w14:paraId="6D1D3AD1">
            <w:pPr>
              <w:spacing w:line="340" w:lineRule="exact"/>
              <w:rPr>
                <w:bCs/>
              </w:rPr>
            </w:pPr>
            <w:r>
              <w:rPr>
                <w:rFonts w:hint="eastAsia"/>
                <w:bCs/>
              </w:rPr>
              <w:t>详见谈判须知正文3.7.6条款</w:t>
            </w:r>
          </w:p>
        </w:tc>
      </w:tr>
      <w:tr w14:paraId="48C1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vAlign w:val="center"/>
          </w:tcPr>
          <w:p w14:paraId="556482A1">
            <w:pPr>
              <w:jc w:val="center"/>
            </w:pPr>
            <w:r>
              <w:rPr>
                <w:rFonts w:hint="eastAsia"/>
              </w:rPr>
              <w:t>4.1</w:t>
            </w:r>
          </w:p>
        </w:tc>
        <w:tc>
          <w:tcPr>
            <w:tcW w:w="1660" w:type="dxa"/>
            <w:vAlign w:val="center"/>
          </w:tcPr>
          <w:p w14:paraId="1BBAE7E3">
            <w:pPr>
              <w:spacing w:line="360" w:lineRule="exact"/>
              <w:jc w:val="center"/>
            </w:pPr>
            <w:r>
              <w:rPr>
                <w:rFonts w:hint="eastAsia" w:cs="仿宋"/>
              </w:rPr>
              <w:t>上传响应文件的截止时间</w:t>
            </w:r>
          </w:p>
        </w:tc>
        <w:tc>
          <w:tcPr>
            <w:tcW w:w="7151" w:type="dxa"/>
            <w:gridSpan w:val="2"/>
            <w:vAlign w:val="center"/>
          </w:tcPr>
          <w:p w14:paraId="796410A1">
            <w:pPr>
              <w:spacing w:line="340" w:lineRule="exact"/>
            </w:pPr>
            <w:r>
              <w:rPr>
                <w:rFonts w:hint="eastAsia"/>
              </w:rPr>
              <w:t>202</w:t>
            </w:r>
            <w:r>
              <w:rPr>
                <w:rFonts w:hint="eastAsia"/>
                <w:lang w:val="en-US" w:eastAsia="zh-CN"/>
              </w:rPr>
              <w:t>6</w:t>
            </w:r>
            <w:r>
              <w:rPr>
                <w:rFonts w:hint="eastAsia"/>
              </w:rPr>
              <w:t>年</w:t>
            </w:r>
            <w:r>
              <w:rPr>
                <w:rFonts w:hint="eastAsia"/>
                <w:lang w:val="en-US" w:eastAsia="zh-CN"/>
              </w:rPr>
              <w:t>3</w:t>
            </w:r>
            <w:r>
              <w:rPr>
                <w:rFonts w:hint="eastAsia"/>
              </w:rPr>
              <w:t>月</w:t>
            </w:r>
            <w:r>
              <w:rPr>
                <w:rFonts w:hint="eastAsia"/>
                <w:lang w:val="en-US" w:eastAsia="zh-CN"/>
              </w:rPr>
              <w:t>10</w:t>
            </w:r>
            <w:r>
              <w:rPr>
                <w:rFonts w:hint="eastAsia"/>
              </w:rPr>
              <w:t>日</w:t>
            </w:r>
            <w:r>
              <w:rPr>
                <w:rFonts w:hint="eastAsia"/>
                <w:lang w:val="en-US" w:eastAsia="zh-CN"/>
              </w:rPr>
              <w:t>14</w:t>
            </w:r>
            <w:r>
              <w:rPr>
                <w:rFonts w:hint="eastAsia"/>
              </w:rPr>
              <w:t>时00分</w:t>
            </w:r>
          </w:p>
        </w:tc>
      </w:tr>
      <w:tr w14:paraId="1312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vAlign w:val="center"/>
          </w:tcPr>
          <w:p w14:paraId="7DD7C39A">
            <w:pPr>
              <w:jc w:val="center"/>
            </w:pPr>
            <w:r>
              <w:rPr>
                <w:rFonts w:hint="eastAsia"/>
              </w:rPr>
              <w:t>5.1</w:t>
            </w:r>
          </w:p>
        </w:tc>
        <w:tc>
          <w:tcPr>
            <w:tcW w:w="1660" w:type="dxa"/>
            <w:vAlign w:val="center"/>
          </w:tcPr>
          <w:p w14:paraId="17FA8D51">
            <w:pPr>
              <w:spacing w:line="360" w:lineRule="exact"/>
              <w:jc w:val="center"/>
            </w:pPr>
            <w:r>
              <w:rPr>
                <w:rFonts w:hint="eastAsia"/>
              </w:rPr>
              <w:t>谈判时间和</w:t>
            </w:r>
          </w:p>
          <w:p w14:paraId="686C0B04">
            <w:pPr>
              <w:spacing w:line="360" w:lineRule="exact"/>
              <w:jc w:val="center"/>
            </w:pPr>
            <w:r>
              <w:rPr>
                <w:rFonts w:hint="eastAsia"/>
              </w:rPr>
              <w:t>方式</w:t>
            </w:r>
          </w:p>
        </w:tc>
        <w:tc>
          <w:tcPr>
            <w:tcW w:w="7151" w:type="dxa"/>
            <w:gridSpan w:val="2"/>
            <w:vAlign w:val="center"/>
          </w:tcPr>
          <w:p w14:paraId="0EBE3006">
            <w:pPr>
              <w:spacing w:line="340" w:lineRule="exact"/>
            </w:pPr>
            <w:r>
              <w:rPr>
                <w:rFonts w:hint="eastAsia"/>
              </w:rPr>
              <w:t>谈判时间：202</w:t>
            </w:r>
            <w:r>
              <w:rPr>
                <w:rFonts w:hint="eastAsia"/>
                <w:lang w:val="en-US" w:eastAsia="zh-CN"/>
              </w:rPr>
              <w:t>6</w:t>
            </w:r>
            <w:r>
              <w:rPr>
                <w:rFonts w:hint="eastAsia"/>
              </w:rPr>
              <w:t>年</w:t>
            </w:r>
            <w:r>
              <w:rPr>
                <w:rFonts w:hint="eastAsia"/>
                <w:lang w:val="en-US" w:eastAsia="zh-CN"/>
              </w:rPr>
              <w:t>3</w:t>
            </w:r>
            <w:r>
              <w:rPr>
                <w:rFonts w:hint="eastAsia"/>
              </w:rPr>
              <w:t>月</w:t>
            </w:r>
            <w:r>
              <w:rPr>
                <w:rFonts w:hint="eastAsia"/>
                <w:lang w:val="en-US" w:eastAsia="zh-CN"/>
              </w:rPr>
              <w:t>10</w:t>
            </w:r>
            <w:r>
              <w:rPr>
                <w:rFonts w:hint="eastAsia"/>
              </w:rPr>
              <w:t>日</w:t>
            </w:r>
            <w:r>
              <w:rPr>
                <w:rFonts w:hint="eastAsia"/>
                <w:lang w:val="en-US" w:eastAsia="zh-CN"/>
              </w:rPr>
              <w:t>14</w:t>
            </w:r>
            <w:r>
              <w:rPr>
                <w:rFonts w:hint="eastAsia"/>
              </w:rPr>
              <w:t>时00分</w:t>
            </w:r>
          </w:p>
          <w:p w14:paraId="7263426E">
            <w:pPr>
              <w:spacing w:line="340" w:lineRule="exact"/>
            </w:pPr>
            <w:r>
              <w:rPr>
                <w:rFonts w:hint="eastAsia"/>
              </w:rPr>
              <w:t>谈判方式：</w:t>
            </w:r>
            <w:r>
              <w:rPr>
                <w:rFonts w:ascii="Times New Roman" w:hAnsi="Times New Roman"/>
              </w:rPr>
              <w:t>网上</w:t>
            </w:r>
            <w:r>
              <w:rPr>
                <w:rFonts w:hint="eastAsia" w:ascii="Times New Roman" w:hAnsi="Times New Roman"/>
              </w:rPr>
              <w:t>谈判</w:t>
            </w:r>
            <w:r>
              <w:rPr>
                <w:rFonts w:ascii="Times New Roman" w:hAnsi="Times New Roman"/>
              </w:rPr>
              <w:t>，</w:t>
            </w:r>
            <w:r>
              <w:rPr>
                <w:rFonts w:hint="eastAsia" w:ascii="Times New Roman" w:hAnsi="Times New Roman"/>
              </w:rPr>
              <w:t>谈判</w:t>
            </w:r>
            <w:r>
              <w:rPr>
                <w:rFonts w:ascii="Times New Roman" w:hAnsi="Times New Roman"/>
              </w:rPr>
              <w:t>时无需</w:t>
            </w:r>
            <w:r>
              <w:rPr>
                <w:rFonts w:hint="eastAsia" w:ascii="Times New Roman" w:hAnsi="Times New Roman"/>
              </w:rPr>
              <w:t>供应商</w:t>
            </w:r>
            <w:r>
              <w:rPr>
                <w:rFonts w:ascii="Times New Roman" w:hAnsi="Times New Roman"/>
              </w:rPr>
              <w:t>到达现场。</w:t>
            </w:r>
          </w:p>
        </w:tc>
      </w:tr>
      <w:tr w14:paraId="65E9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2DE833C7">
            <w:pPr>
              <w:jc w:val="center"/>
            </w:pPr>
            <w:r>
              <w:rPr>
                <w:rFonts w:hint="eastAsia"/>
              </w:rPr>
              <w:t>6.3</w:t>
            </w:r>
          </w:p>
        </w:tc>
        <w:tc>
          <w:tcPr>
            <w:tcW w:w="1660" w:type="dxa"/>
            <w:vAlign w:val="center"/>
          </w:tcPr>
          <w:p w14:paraId="4B4099CA">
            <w:pPr>
              <w:spacing w:line="360" w:lineRule="exact"/>
              <w:jc w:val="center"/>
            </w:pPr>
            <w:r>
              <w:rPr>
                <w:rFonts w:hint="eastAsia"/>
              </w:rPr>
              <w:t>评审方法</w:t>
            </w:r>
          </w:p>
        </w:tc>
        <w:tc>
          <w:tcPr>
            <w:tcW w:w="7151" w:type="dxa"/>
            <w:gridSpan w:val="2"/>
            <w:vAlign w:val="center"/>
          </w:tcPr>
          <w:p w14:paraId="745C106D">
            <w:pPr>
              <w:spacing w:line="340" w:lineRule="exact"/>
              <w:rPr>
                <w:bCs/>
              </w:rPr>
            </w:pPr>
            <w:r>
              <w:rPr>
                <w:rFonts w:hint="eastAsia"/>
                <w:bCs/>
              </w:rPr>
              <w:t>综合评审法</w:t>
            </w:r>
          </w:p>
        </w:tc>
      </w:tr>
      <w:tr w14:paraId="4B86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58" w:type="dxa"/>
            <w:vAlign w:val="center"/>
          </w:tcPr>
          <w:p w14:paraId="66894868">
            <w:pPr>
              <w:jc w:val="center"/>
            </w:pPr>
            <w:r>
              <w:rPr>
                <w:rFonts w:hint="eastAsia"/>
              </w:rPr>
              <w:t>7.3</w:t>
            </w:r>
          </w:p>
        </w:tc>
        <w:tc>
          <w:tcPr>
            <w:tcW w:w="1660" w:type="dxa"/>
            <w:vAlign w:val="center"/>
          </w:tcPr>
          <w:p w14:paraId="481B233E">
            <w:pPr>
              <w:spacing w:line="360" w:lineRule="exact"/>
              <w:jc w:val="center"/>
            </w:pPr>
            <w:r>
              <w:rPr>
                <w:rFonts w:hint="eastAsia"/>
              </w:rPr>
              <w:t>履约</w:t>
            </w:r>
            <w:r>
              <w:rPr>
                <w:rFonts w:hint="eastAsia"/>
                <w:bCs/>
              </w:rPr>
              <w:t>保证金</w:t>
            </w:r>
          </w:p>
        </w:tc>
        <w:tc>
          <w:tcPr>
            <w:tcW w:w="7151" w:type="dxa"/>
            <w:gridSpan w:val="2"/>
            <w:vAlign w:val="center"/>
          </w:tcPr>
          <w:p w14:paraId="14653EAD">
            <w:pPr>
              <w:spacing w:line="340" w:lineRule="exact"/>
            </w:pPr>
            <w:r>
              <w:rPr>
                <w:rFonts w:hint="eastAsia"/>
                <w:bCs/>
              </w:rPr>
              <w:t>无</w:t>
            </w:r>
          </w:p>
        </w:tc>
      </w:tr>
      <w:tr w14:paraId="5DA3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483" w:hRule="atLeast"/>
          <w:jc w:val="center"/>
        </w:trPr>
        <w:tc>
          <w:tcPr>
            <w:tcW w:w="958" w:type="dxa"/>
            <w:vAlign w:val="center"/>
          </w:tcPr>
          <w:p w14:paraId="1B655449">
            <w:pPr>
              <w:jc w:val="center"/>
            </w:pPr>
            <w:r>
              <w:rPr>
                <w:rFonts w:hint="eastAsia"/>
              </w:rPr>
              <w:t>8.1</w:t>
            </w:r>
          </w:p>
        </w:tc>
        <w:tc>
          <w:tcPr>
            <w:tcW w:w="1660" w:type="dxa"/>
            <w:vAlign w:val="center"/>
          </w:tcPr>
          <w:p w14:paraId="6ADF1A88">
            <w:pPr>
              <w:spacing w:line="360" w:lineRule="exact"/>
              <w:jc w:val="center"/>
            </w:pPr>
            <w:r>
              <w:rPr>
                <w:rFonts w:hint="eastAsia"/>
              </w:rPr>
              <w:t>重新谈判</w:t>
            </w:r>
          </w:p>
        </w:tc>
        <w:tc>
          <w:tcPr>
            <w:tcW w:w="7138" w:type="dxa"/>
            <w:vAlign w:val="center"/>
          </w:tcPr>
          <w:p w14:paraId="1B1344E0">
            <w:pPr>
              <w:spacing w:line="340" w:lineRule="exact"/>
              <w:rPr>
                <w:rFonts w:cs="仿宋"/>
              </w:rPr>
            </w:pPr>
            <w:r>
              <w:rPr>
                <w:rFonts w:hint="eastAsia" w:cs="仿宋"/>
              </w:rPr>
              <w:t>有下列情形之一的，采购人将重新谈判</w:t>
            </w:r>
          </w:p>
          <w:p w14:paraId="6B77D850">
            <w:pPr>
              <w:spacing w:line="340" w:lineRule="exact"/>
              <w:rPr>
                <w:rFonts w:cs="仿宋"/>
              </w:rPr>
            </w:pPr>
            <w:r>
              <w:rPr>
                <w:rFonts w:hint="eastAsia" w:cs="仿宋"/>
              </w:rPr>
              <w:t>1.截至到</w:t>
            </w:r>
            <w:r>
              <w:rPr>
                <w:rFonts w:hint="eastAsia"/>
              </w:rPr>
              <w:t>谈判开始时间</w:t>
            </w:r>
            <w:r>
              <w:rPr>
                <w:rFonts w:hint="eastAsia" w:cs="仿宋"/>
              </w:rPr>
              <w:t>，提交响应文件的供应商少于3个的；</w:t>
            </w:r>
          </w:p>
          <w:p w14:paraId="799DF86C">
            <w:pPr>
              <w:spacing w:line="340" w:lineRule="exact"/>
              <w:rPr>
                <w:rFonts w:cs="仿宋"/>
              </w:rPr>
            </w:pPr>
            <w:r>
              <w:rPr>
                <w:rFonts w:hint="eastAsia" w:cs="仿宋"/>
              </w:rPr>
              <w:t>2.经评审委员会评审，否决部分供应商响应文件后少于3个，缺乏竞争性的；</w:t>
            </w:r>
          </w:p>
          <w:p w14:paraId="1AC0CF11">
            <w:pPr>
              <w:spacing w:line="340" w:lineRule="exact"/>
            </w:pPr>
            <w:r>
              <w:rPr>
                <w:rFonts w:hint="eastAsia" w:cs="仿宋"/>
              </w:rPr>
              <w:t>3.经评审委员会评审否决所有响应文件的。</w:t>
            </w:r>
          </w:p>
        </w:tc>
      </w:tr>
      <w:tr w14:paraId="71C5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58" w:type="dxa"/>
            <w:vAlign w:val="center"/>
          </w:tcPr>
          <w:p w14:paraId="62CC64CF">
            <w:pPr>
              <w:jc w:val="center"/>
            </w:pPr>
            <w:r>
              <w:rPr>
                <w:rFonts w:hint="eastAsia"/>
              </w:rPr>
              <w:t>10.1</w:t>
            </w:r>
          </w:p>
        </w:tc>
        <w:tc>
          <w:tcPr>
            <w:tcW w:w="8811" w:type="dxa"/>
            <w:gridSpan w:val="3"/>
            <w:vAlign w:val="center"/>
          </w:tcPr>
          <w:p w14:paraId="1E79399F">
            <w:pPr>
              <w:spacing w:line="340" w:lineRule="exact"/>
              <w:rPr>
                <w:bCs/>
              </w:rPr>
            </w:pPr>
            <w:r>
              <w:rPr>
                <w:rFonts w:hint="eastAsia"/>
                <w:bCs/>
              </w:rPr>
              <w:t>在任何评审环节中，需评审委员会就某项定性的评审结论做出表决的，由评审委员会全体成员按照少数服从多数的原则，以记名投票方式表决。</w:t>
            </w:r>
          </w:p>
        </w:tc>
      </w:tr>
      <w:tr w14:paraId="2717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58" w:type="dxa"/>
            <w:vAlign w:val="center"/>
          </w:tcPr>
          <w:p w14:paraId="29E7CF1C">
            <w:pPr>
              <w:jc w:val="center"/>
            </w:pPr>
            <w:r>
              <w:rPr>
                <w:rFonts w:hint="eastAsia"/>
              </w:rPr>
              <w:t>10.2</w:t>
            </w:r>
          </w:p>
        </w:tc>
        <w:tc>
          <w:tcPr>
            <w:tcW w:w="8811" w:type="dxa"/>
            <w:gridSpan w:val="3"/>
            <w:vAlign w:val="center"/>
          </w:tcPr>
          <w:p w14:paraId="2FFF6FCE">
            <w:pPr>
              <w:spacing w:line="340" w:lineRule="exact"/>
            </w:pPr>
            <w:r>
              <w:rPr>
                <w:rFonts w:hint="eastAsia"/>
              </w:rPr>
              <w:t>供应商认为谈判文件中有限制、排斥供应商情形的，应当在谈判开始时间2日前向采购人书面提出，未在规定时间内提出异议的，视为对谈判文件无异议。</w:t>
            </w:r>
          </w:p>
        </w:tc>
      </w:tr>
    </w:tbl>
    <w:p w14:paraId="0995A13B">
      <w:pPr>
        <w:pStyle w:val="10"/>
        <w:spacing w:line="360" w:lineRule="auto"/>
        <w:jc w:val="left"/>
        <w:rPr>
          <w:rFonts w:ascii="仿宋" w:hAnsi="仿宋" w:eastAsia="仿宋"/>
          <w:b/>
          <w:sz w:val="28"/>
          <w:szCs w:val="28"/>
        </w:rPr>
      </w:pPr>
    </w:p>
    <w:p w14:paraId="2983F72B">
      <w:pPr>
        <w:pStyle w:val="33"/>
        <w:spacing w:before="156"/>
        <w:rPr>
          <w:rStyle w:val="48"/>
          <w:b/>
          <w:bCs w:val="0"/>
        </w:rPr>
      </w:pPr>
      <w:bookmarkStart w:id="2" w:name="_Toc8764"/>
      <w:bookmarkStart w:id="3" w:name="_Toc30863"/>
      <w:bookmarkStart w:id="4" w:name="_Toc4793"/>
      <w:r>
        <w:rPr>
          <w:rFonts w:hint="eastAsia"/>
          <w:sz w:val="32"/>
          <w:szCs w:val="32"/>
        </w:rPr>
        <w:t>谈判须知正文部分</w:t>
      </w:r>
      <w:bookmarkEnd w:id="2"/>
      <w:bookmarkEnd w:id="3"/>
      <w:bookmarkEnd w:id="4"/>
    </w:p>
    <w:p w14:paraId="19A85293">
      <w:pPr>
        <w:pStyle w:val="42"/>
        <w:rPr>
          <w:rStyle w:val="48"/>
          <w:b w:val="0"/>
          <w:bCs w:val="0"/>
        </w:rPr>
      </w:pPr>
      <w:bookmarkStart w:id="5" w:name="_Toc507936013"/>
      <w:bookmarkStart w:id="6" w:name="_Toc506105818"/>
      <w:r>
        <w:rPr>
          <w:rStyle w:val="48"/>
          <w:rFonts w:hint="eastAsia"/>
          <w:b w:val="0"/>
          <w:bCs w:val="0"/>
        </w:rPr>
        <w:t>1.总则</w:t>
      </w:r>
      <w:bookmarkEnd w:id="5"/>
      <w:bookmarkEnd w:id="6"/>
    </w:p>
    <w:p w14:paraId="42EABB30">
      <w:pPr>
        <w:pStyle w:val="36"/>
      </w:pPr>
      <w:bookmarkStart w:id="7" w:name="_Toc507936014"/>
      <w:bookmarkStart w:id="8" w:name="_Toc506105819"/>
      <w:r>
        <w:rPr>
          <w:rFonts w:hint="eastAsia"/>
        </w:rPr>
        <w:t>1.1 项目概况</w:t>
      </w:r>
      <w:bookmarkEnd w:id="7"/>
      <w:bookmarkEnd w:id="8"/>
    </w:p>
    <w:p w14:paraId="2C71483E">
      <w:pPr>
        <w:pStyle w:val="40"/>
        <w:keepNext w:val="0"/>
        <w:keepLines w:val="0"/>
        <w:spacing w:before="0" w:line="360" w:lineRule="auto"/>
        <w:ind w:firstLine="480" w:firstLineChars="200"/>
        <w:rPr>
          <w:szCs w:val="28"/>
        </w:rPr>
      </w:pPr>
      <w:r>
        <w:rPr>
          <w:rFonts w:hint="eastAsia" w:ascii="宋体" w:hAnsi="宋体" w:cs="仿宋"/>
          <w:sz w:val="24"/>
        </w:rPr>
        <w:t xml:space="preserve">1.1.1 </w:t>
      </w:r>
      <w:r>
        <w:rPr>
          <w:rFonts w:hint="eastAsia" w:ascii="宋体" w:hAnsi="宋体" w:eastAsia="宋体" w:cs="仿宋"/>
          <w:kern w:val="2"/>
          <w:sz w:val="24"/>
          <w:szCs w:val="24"/>
        </w:rPr>
        <w:t>采购人：</w:t>
      </w:r>
      <w:r>
        <w:rPr>
          <w:rFonts w:hint="eastAsia" w:ascii="宋体" w:hAnsi="宋体" w:eastAsia="宋体" w:cs="仿宋"/>
          <w:sz w:val="24"/>
          <w:szCs w:val="24"/>
        </w:rPr>
        <w:t>详见谈判</w:t>
      </w:r>
      <w:r>
        <w:rPr>
          <w:rFonts w:hint="eastAsia" w:ascii="宋体" w:hAnsi="宋体" w:eastAsia="宋体" w:cs="仿宋"/>
          <w:kern w:val="2"/>
          <w:sz w:val="24"/>
          <w:szCs w:val="24"/>
        </w:rPr>
        <w:t>须知前附表</w:t>
      </w:r>
    </w:p>
    <w:p w14:paraId="555008C3">
      <w:pPr>
        <w:spacing w:line="360" w:lineRule="auto"/>
        <w:ind w:firstLine="420" w:firstLineChars="200"/>
        <w:rPr>
          <w:rFonts w:hint="eastAsia" w:cs="仿宋"/>
        </w:rPr>
      </w:pPr>
      <w:r>
        <w:rPr>
          <w:rFonts w:hint="eastAsia" w:cs="仿宋"/>
        </w:rPr>
        <w:t>1.1.2 采购项目名称：详见谈判须知前附表</w:t>
      </w:r>
    </w:p>
    <w:p w14:paraId="1AF3D158">
      <w:pPr>
        <w:spacing w:line="360" w:lineRule="auto"/>
        <w:ind w:firstLine="420" w:firstLineChars="200"/>
        <w:rPr>
          <w:rFonts w:cs="仿宋"/>
        </w:rPr>
      </w:pPr>
      <w:r>
        <w:rPr>
          <w:rFonts w:hint="eastAsia" w:cs="仿宋"/>
        </w:rPr>
        <w:t>1.1.3项目概况: 详见谈判须知前附表</w:t>
      </w:r>
    </w:p>
    <w:p w14:paraId="5B963737">
      <w:pPr>
        <w:spacing w:line="360" w:lineRule="auto"/>
        <w:ind w:firstLine="420" w:firstLineChars="200"/>
        <w:rPr>
          <w:rFonts w:cs="仿宋"/>
        </w:rPr>
      </w:pPr>
      <w:r>
        <w:rPr>
          <w:rFonts w:hint="eastAsia" w:cs="仿宋"/>
        </w:rPr>
        <w:t>1.1.4 项目地点：详见谈判须知前附表</w:t>
      </w:r>
    </w:p>
    <w:p w14:paraId="11609A1B">
      <w:pPr>
        <w:pStyle w:val="36"/>
      </w:pPr>
      <w:bookmarkStart w:id="9" w:name="_Toc27657"/>
      <w:bookmarkStart w:id="10" w:name="_Toc247513954"/>
      <w:bookmarkStart w:id="11" w:name="_Toc328559028"/>
      <w:bookmarkStart w:id="12" w:name="_Toc247527555"/>
      <w:bookmarkStart w:id="13" w:name="_Toc25497"/>
      <w:bookmarkStart w:id="14" w:name="_Toc300834951"/>
      <w:bookmarkStart w:id="15" w:name="_Toc506105820"/>
      <w:bookmarkStart w:id="16" w:name="_Toc507936015"/>
      <w:r>
        <w:rPr>
          <w:rFonts w:hint="eastAsia"/>
        </w:rPr>
        <w:t>1.2 项目资金来源</w:t>
      </w:r>
      <w:bookmarkEnd w:id="9"/>
      <w:bookmarkEnd w:id="10"/>
      <w:bookmarkEnd w:id="11"/>
      <w:bookmarkEnd w:id="12"/>
      <w:bookmarkEnd w:id="13"/>
      <w:bookmarkEnd w:id="14"/>
      <w:bookmarkEnd w:id="15"/>
      <w:r>
        <w:rPr>
          <w:rFonts w:hint="eastAsia"/>
        </w:rPr>
        <w:t>、采购人式、采购控价</w:t>
      </w:r>
      <w:bookmarkEnd w:id="16"/>
    </w:p>
    <w:p w14:paraId="618F8D76">
      <w:pPr>
        <w:spacing w:line="360" w:lineRule="auto"/>
        <w:ind w:firstLine="420" w:firstLineChars="200"/>
        <w:rPr>
          <w:rFonts w:hint="eastAsia" w:cs="仿宋"/>
        </w:rPr>
      </w:pPr>
      <w:r>
        <w:rPr>
          <w:rFonts w:hint="eastAsia" w:cs="仿宋"/>
        </w:rPr>
        <w:t>1.2.1 项目资金来源：</w:t>
      </w:r>
      <w:bookmarkStart w:id="17" w:name="_Toc300834952"/>
      <w:bookmarkStart w:id="18" w:name="_Toc247527556"/>
      <w:bookmarkStart w:id="19" w:name="_Toc247513955"/>
      <w:bookmarkStart w:id="20" w:name="_Toc30612"/>
      <w:bookmarkStart w:id="21" w:name="_Toc16572"/>
      <w:bookmarkStart w:id="22" w:name="_Toc328559029"/>
      <w:r>
        <w:rPr>
          <w:rFonts w:hint="eastAsia" w:cs="仿宋"/>
        </w:rPr>
        <w:t>详见谈判须知前附表</w:t>
      </w:r>
    </w:p>
    <w:p w14:paraId="625E07EC">
      <w:pPr>
        <w:spacing w:line="360" w:lineRule="auto"/>
        <w:ind w:firstLine="420" w:firstLineChars="200"/>
        <w:rPr>
          <w:rFonts w:hint="eastAsia" w:cs="仿宋"/>
        </w:rPr>
      </w:pPr>
      <w:r>
        <w:rPr>
          <w:rFonts w:hint="eastAsia" w:cs="仿宋"/>
        </w:rPr>
        <w:t>1.2.2采购人式：详见谈判须知前附表</w:t>
      </w:r>
    </w:p>
    <w:p w14:paraId="0D922FDA">
      <w:pPr>
        <w:pStyle w:val="16"/>
        <w:ind w:left="0" w:leftChars="0" w:firstLine="480"/>
        <w:rPr>
          <w:rFonts w:hint="eastAsia"/>
        </w:rPr>
      </w:pPr>
      <w:r>
        <w:rPr>
          <w:rFonts w:hint="eastAsia" w:ascii="宋体" w:hAnsi="宋体" w:cs="仿宋"/>
        </w:rPr>
        <w:t>1.2.3</w:t>
      </w:r>
      <w:r>
        <w:rPr>
          <w:rFonts w:hint="eastAsia"/>
        </w:rPr>
        <w:t>采购控价：</w:t>
      </w:r>
      <w:r>
        <w:rPr>
          <w:rFonts w:hint="eastAsia" w:ascii="宋体" w:hAnsi="宋体" w:cs="仿宋"/>
        </w:rPr>
        <w:t>详见</w:t>
      </w:r>
      <w:r>
        <w:rPr>
          <w:rFonts w:hint="eastAsia" w:cs="仿宋"/>
        </w:rPr>
        <w:t>谈判</w:t>
      </w:r>
      <w:r>
        <w:rPr>
          <w:rFonts w:hint="eastAsia" w:ascii="宋体" w:hAnsi="宋体" w:cs="仿宋"/>
        </w:rPr>
        <w:t>须知前附表</w:t>
      </w:r>
    </w:p>
    <w:p w14:paraId="735123C3">
      <w:pPr>
        <w:pStyle w:val="36"/>
      </w:pPr>
      <w:bookmarkStart w:id="23" w:name="_Toc506105821"/>
      <w:bookmarkStart w:id="24" w:name="_Toc507936016"/>
      <w:r>
        <w:rPr>
          <w:rFonts w:hint="eastAsia"/>
        </w:rPr>
        <w:t>1.3 采购范围、供货周期、</w:t>
      </w:r>
      <w:bookmarkEnd w:id="17"/>
      <w:bookmarkEnd w:id="18"/>
      <w:bookmarkEnd w:id="19"/>
      <w:bookmarkEnd w:id="20"/>
      <w:bookmarkEnd w:id="21"/>
      <w:bookmarkEnd w:id="22"/>
      <w:bookmarkEnd w:id="23"/>
      <w:r>
        <w:rPr>
          <w:rFonts w:hint="eastAsia"/>
        </w:rPr>
        <w:t>交货地点和质保期</w:t>
      </w:r>
      <w:bookmarkEnd w:id="24"/>
    </w:p>
    <w:p w14:paraId="33CCB1BD">
      <w:pPr>
        <w:tabs>
          <w:tab w:val="left" w:pos="220"/>
        </w:tabs>
        <w:snapToGrid w:val="0"/>
        <w:spacing w:line="360" w:lineRule="auto"/>
        <w:ind w:firstLine="420" w:firstLineChars="200"/>
        <w:rPr>
          <w:rFonts w:cs="仿宋"/>
        </w:rPr>
      </w:pPr>
      <w:r>
        <w:rPr>
          <w:rFonts w:hint="eastAsia" w:cs="仿宋"/>
        </w:rPr>
        <w:t>1.3.1 采购范围：详见谈判须知前附表</w:t>
      </w:r>
    </w:p>
    <w:p w14:paraId="0763E875">
      <w:pPr>
        <w:spacing w:line="360" w:lineRule="auto"/>
        <w:ind w:firstLine="420" w:firstLineChars="200"/>
        <w:rPr>
          <w:rFonts w:hint="eastAsia" w:cs="仿宋"/>
        </w:rPr>
      </w:pPr>
      <w:r>
        <w:rPr>
          <w:rFonts w:hint="eastAsia" w:cs="仿宋"/>
        </w:rPr>
        <w:t>1.3.2 供货周期：详见谈判须知前附表</w:t>
      </w:r>
    </w:p>
    <w:p w14:paraId="3BCD8F1E">
      <w:pPr>
        <w:spacing w:line="360" w:lineRule="auto"/>
        <w:ind w:firstLine="420" w:firstLineChars="200"/>
        <w:rPr>
          <w:rFonts w:hint="eastAsia" w:cs="仿宋"/>
        </w:rPr>
      </w:pPr>
      <w:r>
        <w:rPr>
          <w:rFonts w:hint="eastAsia" w:cs="仿宋"/>
        </w:rPr>
        <w:t>1.3.3 交货地点：详见谈判须知前附表</w:t>
      </w:r>
    </w:p>
    <w:p w14:paraId="5A627F0F">
      <w:pPr>
        <w:spacing w:line="360" w:lineRule="auto"/>
        <w:ind w:firstLine="420" w:firstLineChars="200"/>
        <w:rPr>
          <w:rFonts w:cs="仿宋"/>
        </w:rPr>
      </w:pPr>
      <w:r>
        <w:rPr>
          <w:rFonts w:hint="eastAsia" w:cs="仿宋"/>
        </w:rPr>
        <w:t>1.3.4质保期：详见谈判须知前附表</w:t>
      </w:r>
    </w:p>
    <w:p w14:paraId="142F4424">
      <w:pPr>
        <w:pStyle w:val="36"/>
      </w:pPr>
      <w:bookmarkStart w:id="25" w:name="_Toc507936017"/>
      <w:bookmarkStart w:id="26" w:name="_Toc506105822"/>
      <w:r>
        <w:rPr>
          <w:rFonts w:hint="eastAsia"/>
        </w:rPr>
        <w:t>1.4 供应商资格要求</w:t>
      </w:r>
      <w:bookmarkEnd w:id="25"/>
      <w:bookmarkEnd w:id="26"/>
    </w:p>
    <w:p w14:paraId="142E809A">
      <w:pPr>
        <w:ind w:firstLine="420" w:firstLineChars="200"/>
        <w:rPr>
          <w:rFonts w:cs="仿宋"/>
        </w:rPr>
      </w:pPr>
      <w:r>
        <w:rPr>
          <w:rFonts w:hint="eastAsia" w:cs="仿宋"/>
        </w:rPr>
        <w:t xml:space="preserve">1.4.1 </w:t>
      </w:r>
      <w:r>
        <w:rPr>
          <w:rFonts w:hint="eastAsia"/>
        </w:rPr>
        <w:t>供应商</w:t>
      </w:r>
      <w:r>
        <w:rPr>
          <w:rFonts w:hint="eastAsia" w:cs="仿宋"/>
        </w:rPr>
        <w:t>资格要求：详见谈判须知前附表</w:t>
      </w:r>
    </w:p>
    <w:p w14:paraId="5B647A1A">
      <w:pPr>
        <w:spacing w:line="360" w:lineRule="auto"/>
        <w:ind w:firstLine="420" w:firstLineChars="200"/>
        <w:rPr>
          <w:rFonts w:hint="eastAsia" w:cs="仿宋"/>
        </w:rPr>
      </w:pPr>
      <w:r>
        <w:rPr>
          <w:rFonts w:hint="eastAsia" w:cs="仿宋"/>
        </w:rPr>
        <w:t>1.4.2 本次采购不接受联合体。</w:t>
      </w:r>
    </w:p>
    <w:p w14:paraId="5A5E4000">
      <w:pPr>
        <w:spacing w:line="360" w:lineRule="auto"/>
        <w:ind w:firstLine="420" w:firstLineChars="200"/>
        <w:rPr>
          <w:rFonts w:hint="eastAsia"/>
        </w:rPr>
      </w:pPr>
      <w:bookmarkStart w:id="27" w:name="_Toc507936018"/>
      <w:bookmarkStart w:id="28" w:name="_Toc506105823"/>
      <w:r>
        <w:rPr>
          <w:rFonts w:hint="eastAsia"/>
        </w:rPr>
        <w:t>1.4.3供应商不得存在下列情形之一：</w:t>
      </w:r>
    </w:p>
    <w:p w14:paraId="3B53D98B">
      <w:pPr>
        <w:spacing w:line="360" w:lineRule="auto"/>
        <w:ind w:firstLine="420" w:firstLineChars="200"/>
        <w:rPr>
          <w:rFonts w:hint="eastAsia"/>
        </w:rPr>
      </w:pPr>
      <w:r>
        <w:rPr>
          <w:rFonts w:hint="eastAsia"/>
        </w:rPr>
        <w:t>（1）与采购人存在利害关系且可能影响采购公正性；</w:t>
      </w:r>
    </w:p>
    <w:p w14:paraId="78BFA797">
      <w:pPr>
        <w:spacing w:line="360" w:lineRule="auto"/>
        <w:ind w:firstLine="420" w:firstLineChars="200"/>
        <w:rPr>
          <w:rFonts w:hint="eastAsia"/>
        </w:rPr>
      </w:pPr>
      <w:r>
        <w:rPr>
          <w:rFonts w:hint="eastAsia"/>
        </w:rPr>
        <w:t>（2）与本采购项目的其他供应商为同一个单位负责人；</w:t>
      </w:r>
    </w:p>
    <w:p w14:paraId="5BB2E8FA">
      <w:pPr>
        <w:spacing w:line="360" w:lineRule="auto"/>
        <w:ind w:firstLine="420" w:firstLineChars="200"/>
        <w:rPr>
          <w:rFonts w:hint="eastAsia"/>
        </w:rPr>
      </w:pPr>
      <w:r>
        <w:rPr>
          <w:rFonts w:hint="eastAsia"/>
        </w:rPr>
        <w:t>（3）与本采购项目的其他供应商存在控股、管理关系；</w:t>
      </w:r>
    </w:p>
    <w:p w14:paraId="6569A5C3">
      <w:pPr>
        <w:spacing w:line="360" w:lineRule="auto"/>
        <w:ind w:firstLine="420" w:firstLineChars="200"/>
        <w:rPr>
          <w:rFonts w:hint="eastAsia"/>
        </w:rPr>
      </w:pPr>
      <w:r>
        <w:rPr>
          <w:rFonts w:hint="eastAsia"/>
        </w:rPr>
        <w:t>（4）与本采购项目其他供应商代理同一个制造商同一品牌同一型号的设备；</w:t>
      </w:r>
    </w:p>
    <w:p w14:paraId="6512ABB5">
      <w:pPr>
        <w:spacing w:line="360" w:lineRule="auto"/>
        <w:ind w:firstLine="420" w:firstLineChars="200"/>
        <w:rPr>
          <w:rFonts w:hint="eastAsia"/>
        </w:rPr>
      </w:pPr>
      <w:r>
        <w:rPr>
          <w:rFonts w:hint="eastAsia"/>
        </w:rPr>
        <w:t>（5）被依法暂停或者取消资格；</w:t>
      </w:r>
    </w:p>
    <w:p w14:paraId="30B689E7">
      <w:pPr>
        <w:spacing w:line="360" w:lineRule="auto"/>
        <w:ind w:firstLine="420" w:firstLineChars="200"/>
        <w:rPr>
          <w:rFonts w:hint="eastAsia"/>
        </w:rPr>
      </w:pPr>
      <w:r>
        <w:rPr>
          <w:rFonts w:hint="eastAsia"/>
        </w:rPr>
        <w:t>（6）被责令停产停业、暂扣或者吊销许可证、暂扣或者吊销执照；</w:t>
      </w:r>
    </w:p>
    <w:p w14:paraId="25F60F0F">
      <w:pPr>
        <w:spacing w:line="360" w:lineRule="auto"/>
        <w:ind w:firstLine="420" w:firstLineChars="200"/>
        <w:rPr>
          <w:rFonts w:hint="eastAsia"/>
        </w:rPr>
      </w:pPr>
      <w:r>
        <w:rPr>
          <w:rFonts w:hint="eastAsia"/>
        </w:rPr>
        <w:t>（7）进入清算程序，或被宣告破产，或其他丧失履约能力的情形；</w:t>
      </w:r>
    </w:p>
    <w:p w14:paraId="24C80072">
      <w:pPr>
        <w:spacing w:line="360" w:lineRule="auto"/>
        <w:ind w:firstLine="420" w:firstLineChars="200"/>
        <w:rPr>
          <w:rFonts w:hint="eastAsia"/>
        </w:rPr>
      </w:pPr>
      <w:r>
        <w:rPr>
          <w:rFonts w:hint="eastAsia"/>
        </w:rPr>
        <w:t>（8）在最近三年内发生重大产品质量问题（以相关行业主管部门的行政处罚决定或司法 机关出具的有关法律文书为准）；</w:t>
      </w:r>
    </w:p>
    <w:p w14:paraId="2646201B">
      <w:pPr>
        <w:spacing w:line="360" w:lineRule="auto"/>
        <w:ind w:firstLine="420" w:firstLineChars="200"/>
        <w:rPr>
          <w:rFonts w:hint="eastAsia"/>
        </w:rPr>
      </w:pPr>
      <w:r>
        <w:rPr>
          <w:rFonts w:hint="eastAsia"/>
        </w:rPr>
        <w:t>（9）被工商行政管理机关在全国企业信用信息公示系统中列入严重违法失信企业名单；</w:t>
      </w:r>
    </w:p>
    <w:p w14:paraId="5B2135D5">
      <w:pPr>
        <w:spacing w:line="360" w:lineRule="auto"/>
        <w:ind w:firstLine="420" w:firstLineChars="200"/>
        <w:rPr>
          <w:rFonts w:hint="eastAsia"/>
        </w:rPr>
      </w:pPr>
      <w:r>
        <w:rPr>
          <w:rFonts w:hint="eastAsia"/>
        </w:rPr>
        <w:t>（10）被最高人民法院在“信用中国”网站（www.creditchina.gov.cn)或各级信用信息共享平台中列入失信被执行人名单；</w:t>
      </w:r>
    </w:p>
    <w:p w14:paraId="3062B734">
      <w:pPr>
        <w:spacing w:line="360" w:lineRule="auto"/>
        <w:ind w:firstLine="420" w:firstLineChars="200"/>
        <w:rPr>
          <w:rFonts w:hint="eastAsia"/>
        </w:rPr>
      </w:pPr>
      <w:r>
        <w:rPr>
          <w:rFonts w:hint="eastAsia"/>
        </w:rPr>
        <w:t>（11）在近三年内供应商或其法定代表人有行贿犯罪行为的（以检察机关职务犯罪预防部门出具的查询结果为准）；</w:t>
      </w:r>
    </w:p>
    <w:p w14:paraId="23AEB98D">
      <w:pPr>
        <w:spacing w:line="360" w:lineRule="auto"/>
        <w:ind w:firstLine="420" w:firstLineChars="200"/>
        <w:rPr>
          <w:rFonts w:hint="eastAsia"/>
        </w:rPr>
      </w:pPr>
      <w:r>
        <w:rPr>
          <w:rFonts w:hint="eastAsia"/>
        </w:rPr>
        <w:t>（12）法律法规或供应商须知前附表规定的其他情形。</w:t>
      </w:r>
    </w:p>
    <w:p w14:paraId="7C024F17">
      <w:pPr>
        <w:pStyle w:val="36"/>
      </w:pPr>
      <w:r>
        <w:rPr>
          <w:rFonts w:hint="eastAsia"/>
        </w:rPr>
        <w:t>1.5 费用承担</w:t>
      </w:r>
      <w:bookmarkEnd w:id="27"/>
      <w:bookmarkEnd w:id="28"/>
    </w:p>
    <w:p w14:paraId="218A3829">
      <w:pPr>
        <w:ind w:firstLine="420" w:firstLineChars="200"/>
        <w:rPr>
          <w:rFonts w:cs="仿宋"/>
        </w:rPr>
      </w:pPr>
      <w:r>
        <w:rPr>
          <w:rFonts w:hint="eastAsia"/>
        </w:rPr>
        <w:t>供应商</w:t>
      </w:r>
      <w:r>
        <w:rPr>
          <w:rFonts w:hint="eastAsia" w:cs="仿宋"/>
        </w:rPr>
        <w:t>准备和参加谈判活动发生的费用自理。</w:t>
      </w:r>
    </w:p>
    <w:p w14:paraId="4DC4B223">
      <w:pPr>
        <w:pStyle w:val="36"/>
      </w:pPr>
      <w:bookmarkStart w:id="29" w:name="_Toc506105824"/>
      <w:bookmarkStart w:id="30" w:name="_Toc507936019"/>
      <w:r>
        <w:rPr>
          <w:rFonts w:hint="eastAsia"/>
        </w:rPr>
        <w:t>1.6 保密</w:t>
      </w:r>
      <w:bookmarkEnd w:id="29"/>
      <w:bookmarkEnd w:id="30"/>
    </w:p>
    <w:p w14:paraId="4BDEA99A">
      <w:pPr>
        <w:spacing w:line="360" w:lineRule="auto"/>
        <w:ind w:firstLine="420" w:firstLineChars="200"/>
        <w:rPr>
          <w:rFonts w:cs="仿宋"/>
        </w:rPr>
      </w:pPr>
      <w:r>
        <w:rPr>
          <w:rFonts w:hint="eastAsia" w:cs="仿宋"/>
        </w:rPr>
        <w:t>参与谈判活动的各方应对谈判文件和响应文件中的商业和技术等秘密保密，违者应对由此造成的后果承担法律责任。</w:t>
      </w:r>
    </w:p>
    <w:p w14:paraId="65442B73">
      <w:pPr>
        <w:pStyle w:val="36"/>
      </w:pPr>
      <w:bookmarkStart w:id="31" w:name="_Toc506105825"/>
      <w:bookmarkStart w:id="32" w:name="_Toc507936020"/>
      <w:r>
        <w:rPr>
          <w:rFonts w:hint="eastAsia"/>
        </w:rPr>
        <w:t>1.7 语言文字</w:t>
      </w:r>
      <w:bookmarkEnd w:id="31"/>
      <w:bookmarkEnd w:id="32"/>
    </w:p>
    <w:p w14:paraId="452A6EE9">
      <w:pPr>
        <w:spacing w:line="360" w:lineRule="auto"/>
        <w:ind w:firstLine="420" w:firstLineChars="200"/>
        <w:rPr>
          <w:rFonts w:cs="仿宋"/>
        </w:rPr>
      </w:pPr>
      <w:r>
        <w:rPr>
          <w:rFonts w:hint="eastAsia" w:cs="仿宋"/>
        </w:rPr>
        <w:t>除专用术语外，与谈判有关的语言均使用中文，必要时专用术语应附有中文注释。</w:t>
      </w:r>
    </w:p>
    <w:p w14:paraId="66D12FE3">
      <w:pPr>
        <w:pStyle w:val="36"/>
      </w:pPr>
      <w:bookmarkStart w:id="33" w:name="_Toc507936021"/>
      <w:bookmarkStart w:id="34" w:name="_Toc506105826"/>
      <w:r>
        <w:rPr>
          <w:rFonts w:hint="eastAsia"/>
        </w:rPr>
        <w:t>1.8 计量单位</w:t>
      </w:r>
      <w:bookmarkEnd w:id="33"/>
      <w:bookmarkEnd w:id="34"/>
    </w:p>
    <w:p w14:paraId="1B05AA9E">
      <w:pPr>
        <w:spacing w:line="360" w:lineRule="auto"/>
        <w:ind w:firstLine="420" w:firstLineChars="200"/>
        <w:rPr>
          <w:rFonts w:cs="仿宋"/>
        </w:rPr>
      </w:pPr>
      <w:r>
        <w:rPr>
          <w:rFonts w:hint="eastAsia" w:cs="仿宋"/>
        </w:rPr>
        <w:t>所有计量均采用中华人民共和国法定计量单位。</w:t>
      </w:r>
    </w:p>
    <w:p w14:paraId="7A6BBAFC">
      <w:pPr>
        <w:pStyle w:val="36"/>
      </w:pPr>
      <w:bookmarkStart w:id="35" w:name="_Toc506105827"/>
      <w:bookmarkStart w:id="36" w:name="_Toc507936022"/>
      <w:r>
        <w:rPr>
          <w:rFonts w:hint="eastAsia"/>
        </w:rPr>
        <w:t>1.9 踏勘现场</w:t>
      </w:r>
      <w:bookmarkEnd w:id="35"/>
      <w:bookmarkEnd w:id="36"/>
    </w:p>
    <w:p w14:paraId="253CC330">
      <w:pPr>
        <w:spacing w:line="360" w:lineRule="auto"/>
        <w:ind w:firstLine="420" w:firstLineChars="200"/>
        <w:rPr>
          <w:rStyle w:val="48"/>
        </w:rPr>
      </w:pPr>
      <w:r>
        <w:rPr>
          <w:rFonts w:hint="eastAsia" w:cs="仿宋"/>
        </w:rPr>
        <w:t>1.9.1详见谈判须知前附表</w:t>
      </w:r>
    </w:p>
    <w:p w14:paraId="0E55E6C8">
      <w:pPr>
        <w:pStyle w:val="36"/>
      </w:pPr>
      <w:bookmarkStart w:id="37" w:name="_Toc507936023"/>
      <w:bookmarkStart w:id="38" w:name="_Toc506105828"/>
      <w:r>
        <w:rPr>
          <w:rFonts w:hint="eastAsia"/>
        </w:rPr>
        <w:t>1.10 谈判预备会</w:t>
      </w:r>
      <w:bookmarkEnd w:id="37"/>
      <w:bookmarkEnd w:id="38"/>
    </w:p>
    <w:p w14:paraId="5461F88E">
      <w:pPr>
        <w:spacing w:line="360" w:lineRule="auto"/>
        <w:ind w:firstLine="420" w:firstLineChars="200"/>
        <w:rPr>
          <w:rFonts w:hint="eastAsia" w:cs="仿宋"/>
        </w:rPr>
      </w:pPr>
      <w:r>
        <w:rPr>
          <w:rFonts w:hint="eastAsia" w:cs="仿宋"/>
        </w:rPr>
        <w:t>1.10.1采购人不召开谈判预备会。</w:t>
      </w:r>
    </w:p>
    <w:p w14:paraId="6DA9F19A">
      <w:pPr>
        <w:pStyle w:val="42"/>
        <w:rPr>
          <w:rStyle w:val="48"/>
          <w:b w:val="0"/>
          <w:bCs w:val="0"/>
        </w:rPr>
      </w:pPr>
      <w:bookmarkStart w:id="39" w:name="_Toc507936024"/>
      <w:r>
        <w:rPr>
          <w:rStyle w:val="48"/>
          <w:rFonts w:hint="eastAsia"/>
          <w:b w:val="0"/>
          <w:bCs w:val="0"/>
        </w:rPr>
        <w:t>2.谈判文件</w:t>
      </w:r>
      <w:bookmarkEnd w:id="39"/>
    </w:p>
    <w:p w14:paraId="043CC9FB">
      <w:pPr>
        <w:pStyle w:val="36"/>
        <w:rPr>
          <w:rFonts w:eastAsia="宋体"/>
        </w:rPr>
      </w:pPr>
      <w:bookmarkStart w:id="40" w:name="_Toc507936025"/>
      <w:bookmarkStart w:id="41" w:name="_Toc506105830"/>
      <w:r>
        <w:rPr>
          <w:rFonts w:hint="eastAsia"/>
        </w:rPr>
        <w:t>2.1 谈判文件的内容</w:t>
      </w:r>
      <w:bookmarkEnd w:id="40"/>
      <w:bookmarkEnd w:id="41"/>
      <w:r>
        <w:rPr>
          <w:rFonts w:hint="eastAsia"/>
        </w:rPr>
        <w:t>和发布</w:t>
      </w:r>
    </w:p>
    <w:p w14:paraId="1CAE2FF8">
      <w:pPr>
        <w:spacing w:line="360" w:lineRule="auto"/>
        <w:ind w:firstLine="420" w:firstLineChars="200"/>
        <w:rPr>
          <w:rFonts w:cs="仿宋"/>
        </w:rPr>
      </w:pPr>
      <w:r>
        <w:rPr>
          <w:rFonts w:hint="eastAsia" w:cs="仿宋"/>
        </w:rPr>
        <w:t>2.1.1谈判文件包括：</w:t>
      </w:r>
    </w:p>
    <w:p w14:paraId="7F81AFB2">
      <w:pPr>
        <w:spacing w:line="360" w:lineRule="auto"/>
        <w:ind w:firstLine="420" w:firstLineChars="200"/>
        <w:rPr>
          <w:rFonts w:cs="仿宋"/>
        </w:rPr>
      </w:pPr>
      <w:r>
        <w:rPr>
          <w:rFonts w:hint="eastAsia" w:cs="仿宋"/>
        </w:rPr>
        <w:t>（1）谈判公告</w:t>
      </w:r>
    </w:p>
    <w:p w14:paraId="0BA953C2">
      <w:pPr>
        <w:spacing w:line="360" w:lineRule="auto"/>
        <w:ind w:firstLine="420" w:firstLineChars="200"/>
        <w:rPr>
          <w:rFonts w:cs="仿宋"/>
        </w:rPr>
      </w:pPr>
      <w:r>
        <w:rPr>
          <w:rFonts w:hint="eastAsia" w:cs="仿宋"/>
        </w:rPr>
        <w:t>（2）谈判须知</w:t>
      </w:r>
    </w:p>
    <w:p w14:paraId="49189069">
      <w:pPr>
        <w:spacing w:line="360" w:lineRule="auto"/>
        <w:ind w:firstLine="420" w:firstLineChars="200"/>
        <w:rPr>
          <w:rFonts w:cs="仿宋"/>
        </w:rPr>
      </w:pPr>
      <w:r>
        <w:rPr>
          <w:rFonts w:hint="eastAsia" w:cs="仿宋"/>
        </w:rPr>
        <w:t>（3）评审办法</w:t>
      </w:r>
    </w:p>
    <w:p w14:paraId="11CBDAA6">
      <w:pPr>
        <w:spacing w:line="360" w:lineRule="auto"/>
        <w:ind w:firstLine="420" w:firstLineChars="200"/>
        <w:rPr>
          <w:rFonts w:cs="仿宋"/>
        </w:rPr>
      </w:pPr>
      <w:r>
        <w:rPr>
          <w:rFonts w:hint="eastAsia" w:cs="仿宋"/>
        </w:rPr>
        <w:t>（4）合同及附件</w:t>
      </w:r>
    </w:p>
    <w:p w14:paraId="2A8B8AC2">
      <w:pPr>
        <w:spacing w:line="360" w:lineRule="auto"/>
        <w:ind w:firstLine="420" w:firstLineChars="200"/>
        <w:rPr>
          <w:rFonts w:cs="仿宋"/>
        </w:rPr>
      </w:pPr>
      <w:r>
        <w:rPr>
          <w:rFonts w:hint="eastAsia" w:cs="仿宋"/>
        </w:rPr>
        <w:t>（5）响应文件格式及内容</w:t>
      </w:r>
    </w:p>
    <w:p w14:paraId="20487D01">
      <w:pPr>
        <w:spacing w:line="360" w:lineRule="auto"/>
        <w:ind w:firstLine="420" w:firstLineChars="200"/>
        <w:rPr>
          <w:rFonts w:cs="仿宋"/>
        </w:rPr>
      </w:pPr>
      <w:r>
        <w:rPr>
          <w:rFonts w:hint="eastAsia" w:cs="仿宋"/>
        </w:rPr>
        <w:t>根据本章第1.10款、第2.2款和第2.3款对谈判文件所作的澄清、修改，构成谈判文件的组成部分。</w:t>
      </w:r>
    </w:p>
    <w:p w14:paraId="68CD4075">
      <w:pPr>
        <w:spacing w:line="360" w:lineRule="auto"/>
        <w:ind w:firstLine="420" w:firstLineChars="200"/>
        <w:rPr>
          <w:rFonts w:hint="eastAsia" w:cs="仿宋"/>
        </w:rPr>
      </w:pPr>
      <w:r>
        <w:rPr>
          <w:rFonts w:hint="eastAsia" w:cs="仿宋"/>
        </w:rPr>
        <w:t>2.1.2若谈判文件中不同章节对同一内容叙述有差异的，性能、参数以技术要求为准；供应商资格要求、交货期、交货地点、质保期以</w:t>
      </w:r>
      <w:r>
        <w:rPr>
          <w:rFonts w:hint="eastAsia"/>
        </w:rPr>
        <w:t>谈判须知前附表</w:t>
      </w:r>
      <w:r>
        <w:rPr>
          <w:rFonts w:hint="eastAsia" w:cs="仿宋"/>
        </w:rPr>
        <w:t>为准。</w:t>
      </w:r>
    </w:p>
    <w:p w14:paraId="787E4756">
      <w:pPr>
        <w:pStyle w:val="16"/>
        <w:spacing w:line="360" w:lineRule="auto"/>
        <w:ind w:left="0" w:leftChars="0" w:firstLine="480"/>
        <w:rPr>
          <w:rFonts w:ascii="宋体" w:hAnsi="宋体" w:cs="仿宋"/>
        </w:rPr>
      </w:pPr>
      <w:r>
        <w:rPr>
          <w:rFonts w:hint="eastAsia" w:ascii="宋体" w:hAnsi="宋体" w:cs="仿宋"/>
        </w:rPr>
        <w:t>2.1.3本谈判文件在济钢集团有限公司阳光购销平台（网址：</w:t>
      </w:r>
      <w:r>
        <w:rPr>
          <w:rFonts w:hint="eastAsia" w:ascii="宋体" w:hAnsi="宋体" w:cs="仿宋"/>
        </w:rPr>
        <w:fldChar w:fldCharType="begin"/>
      </w:r>
      <w:r>
        <w:rPr>
          <w:rFonts w:hint="eastAsia" w:ascii="宋体" w:hAnsi="宋体" w:cs="仿宋"/>
        </w:rPr>
        <w:instrText xml:space="preserve"> HYPERLINK "http://bidding.jigang.com.cn" </w:instrText>
      </w:r>
      <w:r>
        <w:rPr>
          <w:rFonts w:hint="eastAsia" w:ascii="宋体" w:hAnsi="宋体" w:cs="仿宋"/>
        </w:rPr>
        <w:fldChar w:fldCharType="separate"/>
      </w:r>
      <w:r>
        <w:rPr>
          <w:rFonts w:hint="eastAsia" w:ascii="宋体" w:hAnsi="宋体" w:cs="仿宋"/>
        </w:rPr>
        <w:t>http://bidding.jigang.com.cn</w:t>
      </w:r>
      <w:r>
        <w:rPr>
          <w:rFonts w:hint="eastAsia" w:ascii="宋体" w:hAnsi="宋体" w:cs="仿宋"/>
        </w:rPr>
        <w:fldChar w:fldCharType="end"/>
      </w:r>
      <w:r>
        <w:rPr>
          <w:rFonts w:hint="eastAsia" w:ascii="宋体" w:hAnsi="宋体" w:cs="仿宋"/>
        </w:rPr>
        <w:t>/） 上发布。除上述媒介以外的媒介转载或发布与本次谈判相关信息的，采购人不承担任何责任并保留追究相关方责任的权利。</w:t>
      </w:r>
    </w:p>
    <w:p w14:paraId="45920D35">
      <w:pPr>
        <w:pStyle w:val="36"/>
      </w:pPr>
      <w:bookmarkStart w:id="42" w:name="_Toc506105831"/>
      <w:bookmarkStart w:id="43" w:name="_Toc507936026"/>
      <w:r>
        <w:rPr>
          <w:rFonts w:hint="eastAsia"/>
        </w:rPr>
        <w:t>2.2 谈判文件的澄清</w:t>
      </w:r>
      <w:bookmarkEnd w:id="42"/>
      <w:bookmarkEnd w:id="43"/>
    </w:p>
    <w:p w14:paraId="29345744">
      <w:pPr>
        <w:spacing w:line="360" w:lineRule="auto"/>
        <w:ind w:firstLine="420" w:firstLineChars="200"/>
        <w:rPr>
          <w:rFonts w:hint="eastAsia"/>
        </w:rPr>
      </w:pPr>
      <w:bookmarkStart w:id="44" w:name="_Toc507936027"/>
      <w:bookmarkStart w:id="45" w:name="_Toc506105832"/>
      <w:r>
        <w:rPr>
          <w:rFonts w:hint="eastAsia"/>
        </w:rPr>
        <w:t>2.2.1 供应商应仔细阅读和检查竞争性谈判文件的全部内容。如发现缺页或附件不全，应及时向采购人或代理机构提出，以便补齐。如有疑问、异议，应在</w:t>
      </w:r>
      <w:r>
        <w:rPr>
          <w:rFonts w:hint="eastAsia" w:cs="仿宋"/>
        </w:rPr>
        <w:t>谈判截止时间2天前</w:t>
      </w:r>
      <w:r>
        <w:rPr>
          <w:rFonts w:hint="eastAsia"/>
        </w:rPr>
        <w:t>以书面形式要求采购人对竞争性谈判文件予以澄清。</w:t>
      </w:r>
    </w:p>
    <w:p w14:paraId="76E1521A">
      <w:pPr>
        <w:spacing w:line="360" w:lineRule="auto"/>
        <w:ind w:firstLine="420" w:firstLineChars="200"/>
        <w:rPr>
          <w:rFonts w:hint="eastAsia"/>
        </w:rPr>
      </w:pPr>
      <w:r>
        <w:rPr>
          <w:rFonts w:hint="eastAsia"/>
        </w:rPr>
        <w:t>2.2.2 竞争性谈判文件的澄清将在供应商须知前附表规定的报价截止时间前以书面形式发给所有购买竞争性谈判文件的供应商，但不指明澄清问题的来源。如果澄清发出的时间距报价截止时间不足，相应延长报价截止时间。</w:t>
      </w:r>
    </w:p>
    <w:p w14:paraId="56089938">
      <w:pPr>
        <w:spacing w:line="360" w:lineRule="auto"/>
        <w:ind w:firstLine="420" w:firstLineChars="200"/>
        <w:rPr>
          <w:rFonts w:hint="eastAsia"/>
        </w:rPr>
      </w:pPr>
      <w:r>
        <w:rPr>
          <w:rFonts w:hint="eastAsia"/>
        </w:rPr>
        <w:t>2.2.3 供应商在收到澄清后，应在供应商须知前附表规定的时间内以书面形式通知采购人/代理机构，确认已收到该澄清。</w:t>
      </w:r>
    </w:p>
    <w:p w14:paraId="4893F052">
      <w:pPr>
        <w:pStyle w:val="36"/>
      </w:pPr>
      <w:r>
        <w:rPr>
          <w:rFonts w:hint="eastAsia"/>
        </w:rPr>
        <w:t xml:space="preserve">2.3 </w:t>
      </w:r>
      <w:bookmarkEnd w:id="44"/>
      <w:bookmarkEnd w:id="45"/>
      <w:r>
        <w:rPr>
          <w:rFonts w:hint="eastAsia"/>
        </w:rPr>
        <w:t>竞争性谈判文件的修改</w:t>
      </w:r>
    </w:p>
    <w:p w14:paraId="3E657CAF">
      <w:pPr>
        <w:spacing w:line="360" w:lineRule="auto"/>
        <w:ind w:firstLine="420" w:firstLineChars="200"/>
        <w:rPr>
          <w:rFonts w:hint="eastAsia"/>
        </w:rPr>
      </w:pPr>
      <w:r>
        <w:rPr>
          <w:rFonts w:hint="eastAsia"/>
        </w:rPr>
        <w:t>2.3.1 在报价截止时间前，采购人可以书面形式修改竞争性谈判文件，并通知所有已购买竞争性谈判文件的供应商。</w:t>
      </w:r>
    </w:p>
    <w:p w14:paraId="5F898546">
      <w:pPr>
        <w:spacing w:line="360" w:lineRule="auto"/>
        <w:ind w:firstLine="420" w:firstLineChars="200"/>
        <w:rPr>
          <w:rFonts w:cs="仿宋"/>
        </w:rPr>
      </w:pPr>
      <w:r>
        <w:rPr>
          <w:rFonts w:hint="eastAsia"/>
        </w:rPr>
        <w:t>2.3.2 供应商收到修改内容后，应在供应商须知前附表规定的时间内以书面形式通知采购人/代理机构，确认已收到该修改。</w:t>
      </w:r>
    </w:p>
    <w:p w14:paraId="1334498B">
      <w:pPr>
        <w:spacing w:line="360" w:lineRule="auto"/>
        <w:jc w:val="center"/>
        <w:rPr>
          <w:rStyle w:val="48"/>
          <w:rFonts w:hint="eastAsia" w:ascii="宋体" w:hAnsi="宋体"/>
        </w:rPr>
      </w:pPr>
      <w:r>
        <w:rPr>
          <w:rStyle w:val="48"/>
          <w:rFonts w:hint="eastAsia" w:ascii="宋体" w:hAnsi="宋体"/>
        </w:rPr>
        <w:t>3、</w:t>
      </w:r>
      <w:r>
        <w:rPr>
          <w:rStyle w:val="48"/>
          <w:rFonts w:hint="eastAsia"/>
        </w:rPr>
        <w:t>响应</w:t>
      </w:r>
      <w:r>
        <w:rPr>
          <w:rStyle w:val="48"/>
          <w:rFonts w:hint="eastAsia" w:ascii="宋体" w:hAnsi="宋体"/>
        </w:rPr>
        <w:t>文件</w:t>
      </w:r>
    </w:p>
    <w:p w14:paraId="622BFD2D">
      <w:pPr>
        <w:pStyle w:val="36"/>
      </w:pPr>
      <w:bookmarkStart w:id="46" w:name="_Toc506105835"/>
      <w:bookmarkStart w:id="47" w:name="_Toc507936029"/>
      <w:r>
        <w:rPr>
          <w:rFonts w:hint="eastAsia"/>
        </w:rPr>
        <w:t>3.1 响应文件的组成</w:t>
      </w:r>
      <w:bookmarkEnd w:id="46"/>
      <w:bookmarkEnd w:id="47"/>
    </w:p>
    <w:p w14:paraId="4C134834">
      <w:pPr>
        <w:pStyle w:val="36"/>
        <w:tabs>
          <w:tab w:val="clear" w:pos="851"/>
        </w:tabs>
        <w:ind w:left="491" w:hanging="491"/>
        <w:rPr>
          <w:rFonts w:hint="eastAsia"/>
        </w:rPr>
      </w:pPr>
      <w:r>
        <w:rPr>
          <w:rFonts w:hint="eastAsia"/>
        </w:rPr>
        <w:t xml:space="preserve">3.1 </w:t>
      </w:r>
      <w:r>
        <w:rPr>
          <w:rFonts w:hint="eastAsia" w:ascii="宋体" w:hAnsi="宋体" w:eastAsia="宋体" w:cs="宋体"/>
          <w:szCs w:val="24"/>
        </w:rPr>
        <w:t>供应商在谈判过程中作出的符合法律法规和谈判文件规定的澄清确认，构成响应文件的组成部分。</w:t>
      </w:r>
    </w:p>
    <w:p w14:paraId="4E4F8FF3">
      <w:pPr>
        <w:pStyle w:val="36"/>
      </w:pPr>
      <w:bookmarkStart w:id="48" w:name="_Toc507936030"/>
      <w:bookmarkStart w:id="49" w:name="_Toc406766394"/>
      <w:bookmarkStart w:id="50" w:name="_Toc506105836"/>
      <w:r>
        <w:rPr>
          <w:rFonts w:hint="eastAsia"/>
        </w:rPr>
        <w:t>3.2 报价</w:t>
      </w:r>
      <w:bookmarkEnd w:id="48"/>
      <w:bookmarkEnd w:id="49"/>
      <w:bookmarkEnd w:id="50"/>
    </w:p>
    <w:p w14:paraId="0DBD21A7">
      <w:pPr>
        <w:spacing w:line="360" w:lineRule="auto"/>
        <w:ind w:firstLine="420" w:firstLineChars="200"/>
        <w:rPr>
          <w:rFonts w:hint="eastAsia" w:cs="仿宋"/>
        </w:rPr>
      </w:pPr>
      <w:r>
        <w:rPr>
          <w:rFonts w:hint="eastAsia" w:cs="仿宋"/>
        </w:rPr>
        <w:t xml:space="preserve">3.2.1 </w:t>
      </w:r>
      <w:r>
        <w:rPr>
          <w:rFonts w:hint="eastAsia"/>
        </w:rPr>
        <w:t>报价币种：人民币；报价为含增值税价格。</w:t>
      </w:r>
    </w:p>
    <w:p w14:paraId="6C1F2F8C">
      <w:pPr>
        <w:spacing w:line="360" w:lineRule="auto"/>
        <w:ind w:firstLine="420" w:firstLineChars="200"/>
        <w:rPr>
          <w:rFonts w:cs="仿宋"/>
        </w:rPr>
      </w:pPr>
      <w:r>
        <w:rPr>
          <w:rFonts w:hint="eastAsia" w:cs="仿宋"/>
        </w:rPr>
        <w:t>3.2.2 供应商在谈判开始时间前修改报价函中的总报价，应同时修改“报价组成表”中的相应价格。此修改须符合本章第4.3款的有关规定。　</w:t>
      </w:r>
    </w:p>
    <w:p w14:paraId="6992C1D0">
      <w:pPr>
        <w:pStyle w:val="36"/>
      </w:pPr>
      <w:bookmarkStart w:id="51" w:name="_Toc506105837"/>
      <w:bookmarkStart w:id="52" w:name="_Toc406766395"/>
      <w:bookmarkStart w:id="53" w:name="_Toc507936031"/>
      <w:r>
        <w:rPr>
          <w:rFonts w:hint="eastAsia"/>
        </w:rPr>
        <w:t>3.3 谈判有效期</w:t>
      </w:r>
      <w:bookmarkEnd w:id="51"/>
      <w:bookmarkEnd w:id="52"/>
      <w:bookmarkEnd w:id="53"/>
    </w:p>
    <w:p w14:paraId="723C2D54">
      <w:pPr>
        <w:spacing w:line="360" w:lineRule="auto"/>
        <w:ind w:firstLine="420" w:firstLineChars="200"/>
        <w:rPr>
          <w:rFonts w:hint="eastAsia"/>
        </w:rPr>
      </w:pPr>
      <w:r>
        <w:rPr>
          <w:rFonts w:hint="eastAsia" w:cs="仿宋"/>
        </w:rPr>
        <w:t>3.3.1谈判有效期：</w:t>
      </w:r>
      <w:r>
        <w:rPr>
          <w:rFonts w:hint="eastAsia"/>
        </w:rPr>
        <w:t>在供应商须知前附表规定的报价有效期内，供应商不得要求撤销或修改其响应文件。</w:t>
      </w:r>
    </w:p>
    <w:p w14:paraId="3839F82A">
      <w:pPr>
        <w:spacing w:line="360" w:lineRule="auto"/>
        <w:ind w:firstLine="420" w:firstLineChars="200"/>
        <w:rPr>
          <w:rFonts w:cs="仿宋"/>
        </w:rPr>
      </w:pPr>
      <w:r>
        <w:rPr>
          <w:rFonts w:hint="eastAsia" w:cs="仿宋"/>
        </w:rPr>
        <w:t>3.3.2 出现特殊情况需要延长谈判有效期的，采购人以书面形式通知所有供应商延长谈判有效期。供应商同意延长的，应相应延长其谈判保证金的有效期，但不得要求或被允许修改或撤销其响应文件；供应商拒绝延长的，其响应文件失效，但供应商有权收回其谈判保证金。</w:t>
      </w:r>
    </w:p>
    <w:p w14:paraId="1BC7A1EA">
      <w:pPr>
        <w:pStyle w:val="36"/>
        <w:rPr>
          <w:rFonts w:hint="eastAsia"/>
        </w:rPr>
      </w:pPr>
      <w:bookmarkStart w:id="54" w:name="_Toc507936032"/>
      <w:bookmarkStart w:id="55" w:name="_Toc406766396"/>
      <w:bookmarkStart w:id="56" w:name="_Toc506105838"/>
      <w:r>
        <w:rPr>
          <w:rFonts w:hint="eastAsia"/>
        </w:rPr>
        <w:t>3.4 谈判保证金</w:t>
      </w:r>
      <w:bookmarkEnd w:id="54"/>
      <w:bookmarkEnd w:id="55"/>
      <w:bookmarkEnd w:id="56"/>
    </w:p>
    <w:p w14:paraId="0A5759B0">
      <w:pPr>
        <w:spacing w:line="360" w:lineRule="auto"/>
        <w:ind w:firstLine="420" w:firstLineChars="200"/>
        <w:rPr>
          <w:rFonts w:hint="eastAsia" w:cs="仿宋"/>
        </w:rPr>
      </w:pPr>
      <w:bookmarkStart w:id="57" w:name="_Toc507936033"/>
      <w:bookmarkStart w:id="58" w:name="_Toc506105839"/>
      <w:r>
        <w:rPr>
          <w:rFonts w:hint="eastAsia" w:cs="仿宋"/>
        </w:rPr>
        <w:t>3.4.1供应商在递交响应文件的同时，应按谈判须知前附表规定的金额、形式递交谈判保证金，并作为其响应文件的组成部分。以现金或者支票形式提交的保证金，应当从其基本账户转出。联合体报名的，其保证金可以由牵头人递交，并应符合谈判人须知前附表的规定。</w:t>
      </w:r>
    </w:p>
    <w:p w14:paraId="6B15D8A8">
      <w:pPr>
        <w:spacing w:line="360" w:lineRule="auto"/>
        <w:ind w:firstLine="420" w:firstLineChars="200"/>
        <w:rPr>
          <w:rFonts w:hint="eastAsia" w:cs="仿宋"/>
        </w:rPr>
      </w:pPr>
      <w:r>
        <w:rPr>
          <w:rFonts w:hint="eastAsia" w:cs="仿宋"/>
        </w:rPr>
        <w:t>3.4.2供应商不按本章第3.4.1项要求提交谈判保证金的，评审委员会将否决其报名。</w:t>
      </w:r>
    </w:p>
    <w:p w14:paraId="0728FD83">
      <w:pPr>
        <w:spacing w:line="360" w:lineRule="auto"/>
        <w:ind w:firstLine="420" w:firstLineChars="200"/>
        <w:rPr>
          <w:rFonts w:hint="eastAsia" w:cs="仿宋"/>
        </w:rPr>
      </w:pPr>
      <w:r>
        <w:rPr>
          <w:rFonts w:hint="eastAsia" w:cs="仿宋"/>
        </w:rPr>
        <w:t>3.4.3有下列情形之一的，保证金将不予退还：</w:t>
      </w:r>
    </w:p>
    <w:p w14:paraId="714AD131">
      <w:pPr>
        <w:spacing w:line="360" w:lineRule="auto"/>
        <w:ind w:firstLine="420" w:firstLineChars="200"/>
        <w:rPr>
          <w:rFonts w:hint="eastAsia" w:cs="仿宋"/>
        </w:rPr>
      </w:pPr>
      <w:r>
        <w:rPr>
          <w:rFonts w:hint="eastAsia" w:cs="仿宋"/>
        </w:rPr>
        <w:t>（1）供应商在报价有效期内撤销响应文件；</w:t>
      </w:r>
    </w:p>
    <w:p w14:paraId="75D62D42">
      <w:pPr>
        <w:spacing w:line="360" w:lineRule="auto"/>
        <w:ind w:firstLine="420" w:firstLineChars="200"/>
        <w:rPr>
          <w:rFonts w:hint="eastAsia" w:cs="仿宋"/>
        </w:rPr>
      </w:pPr>
      <w:r>
        <w:rPr>
          <w:rFonts w:hint="eastAsia" w:cs="仿宋"/>
        </w:rPr>
        <w:t>（2）成交单位在收到成交通知书后，无正当理由不与采购人订立合同，在签订合同时向采购人提出附加条件，或者不按照谈判文件要求提交履约保证金；</w:t>
      </w:r>
    </w:p>
    <w:p w14:paraId="441BB49B">
      <w:pPr>
        <w:spacing w:line="360" w:lineRule="auto"/>
        <w:ind w:firstLine="420" w:firstLineChars="200"/>
        <w:rPr>
          <w:rFonts w:hint="eastAsia" w:cs="仿宋"/>
        </w:rPr>
      </w:pPr>
      <w:r>
        <w:rPr>
          <w:rFonts w:hint="eastAsia" w:cs="仿宋"/>
        </w:rPr>
        <w:t>（3）发生谈判须知前附表规定的其他可以不予退还保证金的情形。</w:t>
      </w:r>
    </w:p>
    <w:p w14:paraId="33B6A145">
      <w:pPr>
        <w:pStyle w:val="36"/>
        <w:rPr>
          <w:rFonts w:hint="eastAsia"/>
        </w:rPr>
      </w:pPr>
      <w:r>
        <w:rPr>
          <w:rFonts w:hint="eastAsia"/>
        </w:rPr>
        <w:t>3.5 资格审查资料</w:t>
      </w:r>
      <w:bookmarkEnd w:id="57"/>
      <w:bookmarkEnd w:id="58"/>
    </w:p>
    <w:p w14:paraId="3F3F3ECE">
      <w:pPr>
        <w:spacing w:line="360" w:lineRule="auto"/>
        <w:ind w:firstLine="420" w:firstLineChars="200"/>
        <w:rPr>
          <w:rFonts w:hint="eastAsia" w:cs="仿宋"/>
        </w:rPr>
      </w:pPr>
      <w:r>
        <w:rPr>
          <w:rFonts w:hint="eastAsia" w:cs="仿宋"/>
        </w:rPr>
        <w:t>除谈判须知前附表另有规定外，供应商应按下列规定提供资格审查资料，以证明其满足本章第1.4款规定的资质、财务、业绩、信誉等要求。</w:t>
      </w:r>
    </w:p>
    <w:p w14:paraId="0B97EA70">
      <w:pPr>
        <w:spacing w:line="360" w:lineRule="auto"/>
        <w:ind w:firstLine="420" w:firstLineChars="200"/>
        <w:rPr>
          <w:rFonts w:hint="eastAsia" w:ascii="仿宋" w:hAnsi="仿宋" w:cs="Times New Roman"/>
          <w:sz w:val="28"/>
          <w:szCs w:val="28"/>
        </w:rPr>
      </w:pPr>
      <w:r>
        <w:rPr>
          <w:rFonts w:hint="eastAsia" w:cs="仿宋"/>
        </w:rPr>
        <w:t>3.5.1 “供应商基本情况表”</w:t>
      </w:r>
      <w:r>
        <w:rPr>
          <w:szCs w:val="21"/>
        </w:rPr>
        <w:t>应附</w:t>
      </w:r>
      <w:r>
        <w:rPr>
          <w:rFonts w:hint="eastAsia"/>
          <w:szCs w:val="21"/>
        </w:rPr>
        <w:t>营业执照、</w:t>
      </w:r>
      <w:r>
        <w:rPr>
          <w:szCs w:val="21"/>
        </w:rPr>
        <w:t>资质证书副本等材料的</w:t>
      </w:r>
      <w:r>
        <w:rPr>
          <w:rFonts w:hint="eastAsia"/>
          <w:szCs w:val="21"/>
        </w:rPr>
        <w:t>原件扫描件。</w:t>
      </w:r>
    </w:p>
    <w:p w14:paraId="24C67907">
      <w:pPr>
        <w:spacing w:line="360" w:lineRule="auto"/>
        <w:ind w:firstLine="420" w:firstLineChars="200"/>
        <w:rPr>
          <w:rFonts w:hint="eastAsia" w:cs="仿宋"/>
        </w:rPr>
      </w:pPr>
      <w:r>
        <w:rPr>
          <w:rFonts w:hint="eastAsia" w:cs="仿宋"/>
        </w:rPr>
        <w:t>3.5.2 “近年财务状况表”应附经会计师事务所或审计机构审计的财务会计报表扫描件，具体年份要求见谈判须知前附表。</w:t>
      </w:r>
    </w:p>
    <w:p w14:paraId="76B0AD73">
      <w:pPr>
        <w:spacing w:line="360" w:lineRule="auto"/>
        <w:ind w:firstLine="420" w:firstLineChars="200"/>
        <w:rPr>
          <w:rFonts w:hint="eastAsia" w:cs="仿宋"/>
        </w:rPr>
      </w:pPr>
      <w:r>
        <w:rPr>
          <w:rFonts w:hint="eastAsia" w:cs="仿宋"/>
        </w:rPr>
        <w:t>3.5.3“近年完成的业绩情况表”应附合同的原件扫描件，具体时间要求见谈判须知前附表。</w:t>
      </w:r>
    </w:p>
    <w:p w14:paraId="5FB733E6">
      <w:pPr>
        <w:spacing w:line="360" w:lineRule="auto"/>
        <w:ind w:firstLine="420" w:firstLineChars="200"/>
        <w:rPr>
          <w:rFonts w:hint="eastAsia" w:cs="仿宋"/>
        </w:rPr>
      </w:pPr>
      <w:r>
        <w:rPr>
          <w:rFonts w:hint="eastAsia" w:cs="仿宋"/>
        </w:rPr>
        <w:t>3.5.4“近年发生的诉讼及仲裁情况”应附败诉的买卖合同的相关情况，并附法院或仲裁机构作出的判决、裁决等有关法律文书，具体时间要求见谈判须知前附表。</w:t>
      </w:r>
    </w:p>
    <w:p w14:paraId="37A767A3">
      <w:pPr>
        <w:spacing w:line="360" w:lineRule="auto"/>
        <w:ind w:firstLine="420" w:firstLineChars="200"/>
        <w:rPr>
          <w:rFonts w:hint="eastAsia" w:cs="仿宋"/>
        </w:rPr>
      </w:pPr>
      <w:r>
        <w:rPr>
          <w:rFonts w:hint="eastAsia" w:cs="仿宋"/>
        </w:rPr>
        <w:t>3.5.5供应商认为有必要提供的其他证明文件。</w:t>
      </w:r>
    </w:p>
    <w:p w14:paraId="2347272B">
      <w:pPr>
        <w:pStyle w:val="36"/>
        <w:rPr>
          <w:rFonts w:hint="eastAsia"/>
        </w:rPr>
      </w:pPr>
      <w:bookmarkStart w:id="59" w:name="_Toc506105840"/>
      <w:bookmarkStart w:id="60" w:name="_Toc507936034"/>
      <w:r>
        <w:rPr>
          <w:rFonts w:hint="eastAsia"/>
        </w:rPr>
        <w:t>3.6 备选方案</w:t>
      </w:r>
      <w:bookmarkEnd w:id="59"/>
      <w:bookmarkEnd w:id="60"/>
    </w:p>
    <w:p w14:paraId="59F802A9">
      <w:pPr>
        <w:spacing w:line="360" w:lineRule="auto"/>
        <w:ind w:firstLine="420" w:firstLineChars="200"/>
        <w:rPr>
          <w:rFonts w:hint="eastAsia" w:cs="仿宋"/>
        </w:rPr>
      </w:pPr>
      <w:r>
        <w:rPr>
          <w:rFonts w:hint="eastAsia" w:cs="仿宋"/>
        </w:rPr>
        <w:t>3.6.1本次谈判不接受备选方案。</w:t>
      </w:r>
    </w:p>
    <w:p w14:paraId="086E1438">
      <w:pPr>
        <w:pStyle w:val="36"/>
      </w:pPr>
      <w:bookmarkStart w:id="61" w:name="_Toc506105841"/>
      <w:bookmarkStart w:id="62" w:name="_Toc507936035"/>
      <w:r>
        <w:rPr>
          <w:rFonts w:hint="eastAsia"/>
        </w:rPr>
        <w:t>3.7 响应文件的编制</w:t>
      </w:r>
      <w:bookmarkEnd w:id="61"/>
      <w:bookmarkEnd w:id="62"/>
    </w:p>
    <w:p w14:paraId="5D4C7674">
      <w:pPr>
        <w:spacing w:line="360" w:lineRule="auto"/>
        <w:ind w:firstLine="420" w:firstLineChars="200"/>
        <w:rPr>
          <w:rFonts w:cs="仿宋"/>
        </w:rPr>
      </w:pPr>
      <w:r>
        <w:rPr>
          <w:rFonts w:hint="eastAsia" w:cs="仿宋"/>
        </w:rPr>
        <w:t>3.7.1响应文件应按《第五章响应文件格式及内容》要求进行编写。</w:t>
      </w:r>
    </w:p>
    <w:p w14:paraId="157F2D94">
      <w:pPr>
        <w:spacing w:line="360" w:lineRule="auto"/>
        <w:ind w:firstLine="420" w:firstLineChars="200"/>
        <w:rPr>
          <w:rFonts w:cs="仿宋"/>
        </w:rPr>
      </w:pPr>
      <w:r>
        <w:rPr>
          <w:rFonts w:hint="eastAsia" w:cs="仿宋"/>
        </w:rPr>
        <w:t>3.7.2响应文件应当对谈判文件有关交货期、谈判有效期、质量要求、技术标准和要求、采购范围等实质性内容作出响应。</w:t>
      </w:r>
    </w:p>
    <w:p w14:paraId="113D8B5A">
      <w:pPr>
        <w:spacing w:line="360" w:lineRule="auto"/>
        <w:ind w:firstLine="420" w:firstLineChars="200"/>
        <w:rPr>
          <w:rFonts w:cs="仿宋"/>
        </w:rPr>
      </w:pPr>
      <w:r>
        <w:rPr>
          <w:rFonts w:hint="eastAsia" w:cs="仿宋"/>
        </w:rPr>
        <w:t>3.7.3响应文件应用不褪色的材料书写或打印，并由法定代表人或其委托代理人签字或盖公章。签字或盖章的具体要求见谈判须知前附表。</w:t>
      </w:r>
    </w:p>
    <w:p w14:paraId="2CF29F87">
      <w:pPr>
        <w:spacing w:line="360" w:lineRule="auto"/>
        <w:ind w:firstLine="420" w:firstLineChars="200"/>
        <w:rPr>
          <w:rFonts w:cs="仿宋"/>
        </w:rPr>
      </w:pPr>
      <w:r>
        <w:rPr>
          <w:rFonts w:hint="eastAsia" w:cs="仿宋"/>
        </w:rPr>
        <w:t>3.7.4响应文件正本和副本的封面上应清楚地标记“正本”或“副本”的字样。当副本和正本不一致时，以正本为准。</w:t>
      </w:r>
    </w:p>
    <w:p w14:paraId="73E2C176">
      <w:pPr>
        <w:spacing w:line="360" w:lineRule="auto"/>
        <w:ind w:firstLine="420" w:firstLineChars="200"/>
        <w:rPr>
          <w:rFonts w:cs="仿宋"/>
        </w:rPr>
      </w:pPr>
      <w:r>
        <w:rPr>
          <w:rFonts w:hint="eastAsia" w:cs="仿宋"/>
        </w:rPr>
        <w:t>3.7.5响应文件的正本与副本应分别装订成册，并编制目录，详见谈判须知前附表。</w:t>
      </w:r>
    </w:p>
    <w:p w14:paraId="10FEBA79">
      <w:pPr>
        <w:spacing w:line="360" w:lineRule="auto"/>
        <w:jc w:val="center"/>
        <w:rPr>
          <w:rStyle w:val="48"/>
          <w:rFonts w:hint="eastAsia" w:ascii="宋体" w:hAnsi="宋体"/>
        </w:rPr>
      </w:pPr>
      <w:r>
        <w:rPr>
          <w:rStyle w:val="48"/>
          <w:rFonts w:hint="eastAsia" w:ascii="宋体" w:hAnsi="宋体"/>
        </w:rPr>
        <w:t>4.</w:t>
      </w:r>
      <w:r>
        <w:rPr>
          <w:rStyle w:val="48"/>
          <w:rFonts w:hint="eastAsia"/>
        </w:rPr>
        <w:t>响应</w:t>
      </w:r>
    </w:p>
    <w:p w14:paraId="391AF414">
      <w:pPr>
        <w:pStyle w:val="36"/>
      </w:pPr>
      <w:bookmarkStart w:id="63" w:name="_Toc507936037"/>
      <w:bookmarkStart w:id="64" w:name="_Toc506105844"/>
      <w:bookmarkStart w:id="65" w:name="_Toc507936039"/>
      <w:bookmarkStart w:id="66" w:name="_Toc506105846"/>
      <w:r>
        <w:rPr>
          <w:rFonts w:hint="eastAsia"/>
        </w:rPr>
        <w:t>4.1 响应文件的递交</w:t>
      </w:r>
      <w:bookmarkEnd w:id="63"/>
      <w:bookmarkEnd w:id="64"/>
    </w:p>
    <w:p w14:paraId="4C17ADB7">
      <w:pPr>
        <w:spacing w:line="360" w:lineRule="auto"/>
        <w:ind w:firstLine="420" w:firstLineChars="200"/>
        <w:rPr>
          <w:rFonts w:cs="仿宋"/>
        </w:rPr>
      </w:pPr>
      <w:r>
        <w:rPr>
          <w:rFonts w:hint="eastAsia" w:cs="仿宋"/>
        </w:rPr>
        <w:t>详见谈判须知前附表。</w:t>
      </w:r>
    </w:p>
    <w:p w14:paraId="730E8C33">
      <w:pPr>
        <w:pStyle w:val="36"/>
      </w:pPr>
      <w:bookmarkStart w:id="67" w:name="_Toc507936038"/>
      <w:bookmarkStart w:id="68" w:name="_Toc506105845"/>
      <w:r>
        <w:rPr>
          <w:rFonts w:hint="eastAsia"/>
        </w:rPr>
        <w:t>4.2 响应文件的修改与撤回</w:t>
      </w:r>
      <w:bookmarkEnd w:id="67"/>
      <w:bookmarkEnd w:id="68"/>
    </w:p>
    <w:p w14:paraId="0E3C363C">
      <w:pPr>
        <w:spacing w:line="360" w:lineRule="auto"/>
        <w:ind w:firstLine="420" w:firstLineChars="200"/>
        <w:rPr>
          <w:rFonts w:cs="仿宋"/>
        </w:rPr>
      </w:pPr>
      <w:r>
        <w:rPr>
          <w:rFonts w:hint="eastAsia" w:cs="仿宋"/>
        </w:rPr>
        <w:t>在上传响应文件截止时间前，供应商可以修改或撤回已递交的响应文件。</w:t>
      </w:r>
    </w:p>
    <w:p w14:paraId="24C6A510">
      <w:pPr>
        <w:pStyle w:val="42"/>
        <w:rPr>
          <w:rStyle w:val="48"/>
          <w:rFonts w:hint="eastAsia"/>
          <w:b w:val="0"/>
          <w:bCs w:val="0"/>
        </w:rPr>
      </w:pPr>
      <w:r>
        <w:rPr>
          <w:rStyle w:val="48"/>
          <w:rFonts w:hint="eastAsia"/>
          <w:b w:val="0"/>
          <w:bCs w:val="0"/>
        </w:rPr>
        <w:t>5.</w:t>
      </w:r>
      <w:bookmarkEnd w:id="65"/>
      <w:bookmarkEnd w:id="66"/>
      <w:r>
        <w:rPr>
          <w:rStyle w:val="48"/>
          <w:rFonts w:hint="eastAsia"/>
          <w:b w:val="0"/>
          <w:bCs w:val="0"/>
        </w:rPr>
        <w:t>谈判</w:t>
      </w:r>
    </w:p>
    <w:p w14:paraId="56817E1C">
      <w:pPr>
        <w:pStyle w:val="36"/>
        <w:rPr>
          <w:rFonts w:hint="eastAsia" w:eastAsia="宋体"/>
        </w:rPr>
      </w:pPr>
      <w:bookmarkStart w:id="69" w:name="_Toc507936040"/>
      <w:bookmarkStart w:id="70" w:name="_Toc506105847"/>
      <w:r>
        <w:rPr>
          <w:rFonts w:hint="eastAsia"/>
        </w:rPr>
        <w:t xml:space="preserve">5.1 </w:t>
      </w:r>
      <w:bookmarkEnd w:id="69"/>
      <w:bookmarkEnd w:id="70"/>
      <w:bookmarkStart w:id="71" w:name="_Toc506105848"/>
      <w:r>
        <w:rPr>
          <w:rFonts w:hint="eastAsia"/>
        </w:rPr>
        <w:t>谈判</w:t>
      </w:r>
    </w:p>
    <w:p w14:paraId="3F9E46B8">
      <w:pPr>
        <w:spacing w:line="360" w:lineRule="auto"/>
        <w:rPr>
          <w:rFonts w:hint="eastAsia" w:cs="仿宋"/>
        </w:rPr>
      </w:pPr>
      <w:r>
        <w:rPr>
          <w:rFonts w:hint="eastAsia"/>
        </w:rPr>
        <w:t>谈判时间和方式：</w:t>
      </w:r>
      <w:r>
        <w:rPr>
          <w:rFonts w:hint="eastAsia" w:cs="仿宋"/>
        </w:rPr>
        <w:t>详见谈判须知前附表。</w:t>
      </w:r>
    </w:p>
    <w:bookmarkEnd w:id="71"/>
    <w:p w14:paraId="51D6E760">
      <w:pPr>
        <w:pStyle w:val="42"/>
        <w:rPr>
          <w:rStyle w:val="48"/>
          <w:rFonts w:hint="eastAsia" w:ascii="宋体" w:hAnsi="宋体" w:cs="宋体"/>
          <w:b/>
          <w:bCs/>
        </w:rPr>
      </w:pPr>
      <w:bookmarkStart w:id="72" w:name="_Toc507936041"/>
      <w:bookmarkStart w:id="73" w:name="_Toc506105849"/>
      <w:r>
        <w:rPr>
          <w:rStyle w:val="48"/>
          <w:rFonts w:hint="eastAsia"/>
          <w:b w:val="0"/>
          <w:bCs w:val="0"/>
        </w:rPr>
        <w:t>6.</w:t>
      </w:r>
      <w:bookmarkEnd w:id="72"/>
      <w:bookmarkEnd w:id="73"/>
      <w:r>
        <w:rPr>
          <w:rStyle w:val="48"/>
          <w:rFonts w:hint="eastAsia" w:ascii="宋体" w:hAnsi="宋体" w:cs="宋体"/>
          <w:b/>
          <w:bCs/>
        </w:rPr>
        <w:t>响应文件的评审</w:t>
      </w:r>
    </w:p>
    <w:p w14:paraId="52282A87">
      <w:pPr>
        <w:spacing w:line="360" w:lineRule="auto"/>
        <w:ind w:firstLine="420" w:firstLineChars="200"/>
        <w:rPr>
          <w:rFonts w:hint="eastAsia"/>
        </w:rPr>
      </w:pPr>
      <w:bookmarkStart w:id="74" w:name="_Toc506105854"/>
      <w:bookmarkStart w:id="75" w:name="_Toc507936046"/>
      <w:r>
        <w:rPr>
          <w:rFonts w:hint="eastAsia"/>
        </w:rPr>
        <w:t>6.1 评审程序</w:t>
      </w:r>
    </w:p>
    <w:p w14:paraId="3A704D1B">
      <w:pPr>
        <w:spacing w:line="360" w:lineRule="auto"/>
        <w:ind w:firstLine="420" w:firstLineChars="200"/>
        <w:rPr>
          <w:rFonts w:hint="eastAsia"/>
        </w:rPr>
      </w:pPr>
      <w:r>
        <w:rPr>
          <w:rFonts w:hint="eastAsia"/>
        </w:rPr>
        <w:t>6.1.1谈判小组依据谈判文件的规定，对响应文件的有效性、完整性和对谈判文件的响应程度进行审查，以确定是否对谈判文件的要求做出实质性响应。未对谈判文件做实质性响应的供应商，为无效报价，不得进入具体谈判程序。</w:t>
      </w:r>
    </w:p>
    <w:p w14:paraId="49543510">
      <w:pPr>
        <w:spacing w:line="360" w:lineRule="auto"/>
        <w:ind w:firstLine="420" w:firstLineChars="200"/>
        <w:rPr>
          <w:rFonts w:hint="eastAsia"/>
        </w:rPr>
      </w:pPr>
      <w:r>
        <w:rPr>
          <w:rFonts w:hint="eastAsia"/>
        </w:rPr>
        <w:t>对某一供应商的鉴定中，若有半数以上谈判小组成员认为某供应商有一项以上（包括一项）“不符合”，则该供应商不得进入下一步的评审。</w:t>
      </w:r>
    </w:p>
    <w:p w14:paraId="37A04887">
      <w:pPr>
        <w:spacing w:line="360" w:lineRule="auto"/>
        <w:ind w:firstLine="420" w:firstLineChars="200"/>
      </w:pPr>
      <w:r>
        <w:rPr>
          <w:rFonts w:hint="eastAsia"/>
        </w:rPr>
        <w:t>6.1.2</w:t>
      </w:r>
      <w:r>
        <w:t>评审内容的保密</w:t>
      </w:r>
    </w:p>
    <w:p w14:paraId="10EFB4F9">
      <w:pPr>
        <w:spacing w:line="360" w:lineRule="auto"/>
        <w:ind w:firstLine="420" w:firstLineChars="200"/>
      </w:pPr>
      <w:r>
        <w:rPr>
          <w:rFonts w:hint="eastAsia"/>
        </w:rPr>
        <w:t>（1）</w:t>
      </w:r>
      <w:r>
        <w:t>谈判开始，直到宣布成交供应商为止，凡属于审查、报价和比较报价的所有资料，有关授予合同的信息，都不应向供应商或与评审无关的其他人泄露。</w:t>
      </w:r>
    </w:p>
    <w:p w14:paraId="547AE77E">
      <w:pPr>
        <w:spacing w:line="360" w:lineRule="auto"/>
        <w:ind w:firstLine="420" w:firstLineChars="200"/>
      </w:pPr>
      <w:r>
        <w:rPr>
          <w:rFonts w:hint="eastAsia"/>
        </w:rPr>
        <w:t>（2）</w:t>
      </w:r>
      <w:r>
        <w:t>在响应文件的审查、澄清、评价和比较以及授予合同过程中，供应商对采购人和谈判小组成员施加影响的任何行为，都将导致取消其报价资格。</w:t>
      </w:r>
    </w:p>
    <w:p w14:paraId="41448876">
      <w:pPr>
        <w:spacing w:line="360" w:lineRule="auto"/>
        <w:ind w:firstLine="420" w:firstLineChars="200"/>
        <w:rPr>
          <w:rFonts w:hint="eastAsia"/>
        </w:rPr>
      </w:pPr>
      <w:r>
        <w:rPr>
          <w:rFonts w:hint="eastAsia"/>
        </w:rPr>
        <w:t xml:space="preserve">6.1.3 </w:t>
      </w:r>
      <w:r>
        <w:t>报价</w:t>
      </w:r>
      <w:r>
        <w:rPr>
          <w:rFonts w:hint="eastAsia"/>
        </w:rPr>
        <w:t>无效</w:t>
      </w:r>
    </w:p>
    <w:p w14:paraId="0DE5FA9E">
      <w:pPr>
        <w:spacing w:line="360" w:lineRule="auto"/>
        <w:ind w:firstLine="420" w:firstLineChars="200"/>
      </w:pPr>
      <w:r>
        <w:rPr>
          <w:rFonts w:hint="eastAsia"/>
        </w:rPr>
        <w:t>6.1.3.</w:t>
      </w:r>
      <w:r>
        <w:t>1供应商有下列情况之一者，其报价</w:t>
      </w:r>
      <w:r>
        <w:rPr>
          <w:rFonts w:hint="eastAsia"/>
        </w:rPr>
        <w:t>无效</w:t>
      </w:r>
      <w:r>
        <w:t>，但报价保证金不被没收：</w:t>
      </w:r>
    </w:p>
    <w:p w14:paraId="376F5DEB">
      <w:pPr>
        <w:spacing w:line="360" w:lineRule="auto"/>
        <w:ind w:firstLine="420" w:firstLineChars="200"/>
      </w:pPr>
      <w:r>
        <w:t>（1）谈判文件中要求必备的证件未能提供；</w:t>
      </w:r>
    </w:p>
    <w:p w14:paraId="140F3F29">
      <w:pPr>
        <w:spacing w:line="360" w:lineRule="auto"/>
        <w:ind w:firstLine="420" w:firstLineChars="200"/>
      </w:pPr>
      <w:r>
        <w:t>（2）不能达到谈判文件</w:t>
      </w:r>
      <w:r>
        <w:rPr>
          <w:rFonts w:hint="eastAsia"/>
        </w:rPr>
        <w:t>供应商</w:t>
      </w:r>
      <w:r>
        <w:t>资质要求的；</w:t>
      </w:r>
    </w:p>
    <w:p w14:paraId="35C6D12E">
      <w:pPr>
        <w:spacing w:line="360" w:lineRule="auto"/>
        <w:ind w:firstLine="420" w:firstLineChars="200"/>
        <w:rPr>
          <w:rFonts w:hint="eastAsia"/>
        </w:rPr>
      </w:pPr>
      <w:r>
        <w:t>（</w:t>
      </w:r>
      <w:r>
        <w:rPr>
          <w:rFonts w:hint="eastAsia"/>
        </w:rPr>
        <w:t>3</w:t>
      </w:r>
      <w:r>
        <w:t>）</w:t>
      </w:r>
      <w:r>
        <w:rPr>
          <w:rFonts w:hint="eastAsia"/>
        </w:rPr>
        <w:t>报价文件不完整；</w:t>
      </w:r>
    </w:p>
    <w:p w14:paraId="6B1D2EA7">
      <w:pPr>
        <w:spacing w:line="360" w:lineRule="auto"/>
        <w:ind w:firstLine="420" w:firstLineChars="200"/>
        <w:rPr>
          <w:rFonts w:hint="eastAsia"/>
        </w:rPr>
      </w:pPr>
      <w:r>
        <w:rPr>
          <w:rFonts w:hint="eastAsia"/>
        </w:rPr>
        <w:t>（4）未按规定报价或最终报价超过采购预算；</w:t>
      </w:r>
    </w:p>
    <w:p w14:paraId="45A7EBD2">
      <w:pPr>
        <w:spacing w:line="360" w:lineRule="auto"/>
        <w:ind w:firstLine="420" w:firstLineChars="200"/>
        <w:rPr>
          <w:rFonts w:hint="eastAsia"/>
        </w:rPr>
      </w:pPr>
      <w:r>
        <w:rPr>
          <w:rFonts w:hint="eastAsia"/>
        </w:rPr>
        <w:t>（5）未按谈判文件要求提交报价保证金；</w:t>
      </w:r>
    </w:p>
    <w:p w14:paraId="724B4C92">
      <w:pPr>
        <w:spacing w:line="360" w:lineRule="auto"/>
        <w:ind w:firstLine="420" w:firstLineChars="200"/>
        <w:rPr>
          <w:rFonts w:hint="eastAsia"/>
        </w:rPr>
      </w:pPr>
      <w:r>
        <w:rPr>
          <w:rFonts w:hint="eastAsia"/>
        </w:rPr>
        <w:t>（6）报价文件未按谈判文件要求密封、签署、装订、盖章；</w:t>
      </w:r>
    </w:p>
    <w:p w14:paraId="42C618D7">
      <w:pPr>
        <w:spacing w:line="360" w:lineRule="auto"/>
        <w:ind w:firstLine="420" w:firstLineChars="200"/>
        <w:rPr>
          <w:rFonts w:hint="eastAsia"/>
        </w:rPr>
      </w:pPr>
      <w:r>
        <w:rPr>
          <w:rFonts w:hint="eastAsia"/>
        </w:rPr>
        <w:t>（7）报价文件载明的交货时间超过谈判文件规定的时间且不能被采购人接受；</w:t>
      </w:r>
    </w:p>
    <w:p w14:paraId="2DAF6DFB">
      <w:pPr>
        <w:spacing w:line="360" w:lineRule="auto"/>
        <w:ind w:firstLine="420" w:firstLineChars="200"/>
        <w:rPr>
          <w:rFonts w:hint="eastAsia"/>
        </w:rPr>
      </w:pPr>
      <w:r>
        <w:rPr>
          <w:rFonts w:hint="eastAsia"/>
        </w:rPr>
        <w:t>（8）报价文件载明的服务检验标准和方法等不符合谈判文件的要求；</w:t>
      </w:r>
    </w:p>
    <w:p w14:paraId="4DB23017">
      <w:pPr>
        <w:spacing w:line="360" w:lineRule="auto"/>
        <w:ind w:firstLine="420" w:firstLineChars="200"/>
        <w:rPr>
          <w:rFonts w:hint="eastAsia"/>
        </w:rPr>
      </w:pPr>
      <w:r>
        <w:rPr>
          <w:rFonts w:hint="eastAsia"/>
        </w:rPr>
        <w:t>（9）报价文件中的服务配置、技术参数明显不符合谈判文件要求；</w:t>
      </w:r>
    </w:p>
    <w:p w14:paraId="769800AA">
      <w:pPr>
        <w:spacing w:line="360" w:lineRule="auto"/>
        <w:ind w:firstLine="420" w:firstLineChars="200"/>
        <w:rPr>
          <w:rFonts w:hint="eastAsia"/>
        </w:rPr>
      </w:pPr>
      <w:r>
        <w:rPr>
          <w:rFonts w:hint="eastAsia"/>
        </w:rPr>
        <w:t>（10）响应文件未实质性响应竞争性谈判文件规定的格式、内容；</w:t>
      </w:r>
    </w:p>
    <w:p w14:paraId="3A5B465B">
      <w:pPr>
        <w:spacing w:line="360" w:lineRule="auto"/>
        <w:ind w:firstLine="420" w:firstLineChars="200"/>
        <w:rPr>
          <w:rFonts w:hint="eastAsia"/>
        </w:rPr>
      </w:pPr>
      <w:r>
        <w:rPr>
          <w:rFonts w:hint="eastAsia"/>
        </w:rPr>
        <w:t>（11）附有采购人不能接受的条件或不响应竞争性谈判文件规定的内容。</w:t>
      </w:r>
    </w:p>
    <w:p w14:paraId="3CF8F211">
      <w:pPr>
        <w:spacing w:line="360" w:lineRule="auto"/>
        <w:ind w:firstLine="420" w:firstLineChars="200"/>
      </w:pPr>
      <w:r>
        <w:rPr>
          <w:rFonts w:hint="eastAsia"/>
        </w:rPr>
        <w:t>（12）</w:t>
      </w:r>
      <w:r>
        <w:t>法律、法规规定的其他情况。</w:t>
      </w:r>
    </w:p>
    <w:p w14:paraId="608A98EB">
      <w:pPr>
        <w:spacing w:line="360" w:lineRule="auto"/>
        <w:ind w:firstLine="420" w:firstLineChars="200"/>
      </w:pPr>
      <w:r>
        <w:rPr>
          <w:rFonts w:hint="eastAsia"/>
        </w:rPr>
        <w:t>6.1.3</w:t>
      </w:r>
      <w:r>
        <w:t>.2供应商有下列情况之一者，其报价</w:t>
      </w:r>
      <w:r>
        <w:rPr>
          <w:rFonts w:hint="eastAsia"/>
        </w:rPr>
        <w:t>无效</w:t>
      </w:r>
      <w:r>
        <w:t>，</w:t>
      </w:r>
      <w:r>
        <w:rPr>
          <w:rFonts w:hint="eastAsia"/>
        </w:rPr>
        <w:t>谈判</w:t>
      </w:r>
      <w:r>
        <w:t>保证金将被没收：</w:t>
      </w:r>
    </w:p>
    <w:p w14:paraId="41852EC1">
      <w:pPr>
        <w:spacing w:line="360" w:lineRule="auto"/>
        <w:ind w:firstLine="420" w:firstLineChars="200"/>
      </w:pPr>
      <w:r>
        <w:t>（1）供应商向谈判小组、谈判工作有关的人员提供不正当利益；</w:t>
      </w:r>
    </w:p>
    <w:p w14:paraId="46E3B8E7">
      <w:pPr>
        <w:spacing w:line="360" w:lineRule="auto"/>
        <w:ind w:firstLine="420" w:firstLineChars="200"/>
      </w:pPr>
      <w:r>
        <w:t>（2）成交供应商不按谈判文件规定的要求签订合同；</w:t>
      </w:r>
    </w:p>
    <w:p w14:paraId="50E7FDF7">
      <w:pPr>
        <w:spacing w:line="360" w:lineRule="auto"/>
        <w:ind w:firstLine="420" w:firstLineChars="200"/>
      </w:pPr>
      <w:r>
        <w:t>（3）成交供应商未按规定交纳相关费用；</w:t>
      </w:r>
    </w:p>
    <w:p w14:paraId="789D2871">
      <w:pPr>
        <w:spacing w:line="360" w:lineRule="auto"/>
        <w:ind w:firstLine="420" w:firstLineChars="200"/>
      </w:pPr>
      <w:r>
        <w:t>（4）法律、法规规定的其他情况。</w:t>
      </w:r>
    </w:p>
    <w:p w14:paraId="3A024684">
      <w:pPr>
        <w:spacing w:line="360" w:lineRule="auto"/>
        <w:ind w:firstLine="420" w:firstLineChars="200"/>
      </w:pPr>
      <w:r>
        <w:rPr>
          <w:rFonts w:hint="eastAsia"/>
        </w:rPr>
        <w:t>6.1.3.</w:t>
      </w:r>
      <w:r>
        <w:t>3供应商有下列情况之一者，其报价</w:t>
      </w:r>
      <w:r>
        <w:rPr>
          <w:rFonts w:hint="eastAsia"/>
        </w:rPr>
        <w:t>无效</w:t>
      </w:r>
      <w:r>
        <w:t>，将取消其报价资格并负法律责任：</w:t>
      </w:r>
    </w:p>
    <w:p w14:paraId="06CE58EC">
      <w:pPr>
        <w:spacing w:line="360" w:lineRule="auto"/>
        <w:ind w:firstLine="420" w:firstLineChars="200"/>
      </w:pPr>
      <w:r>
        <w:t>（1）供应商提供的有关资格、资质证明文件不真实，提供虚假报价材料；</w:t>
      </w:r>
    </w:p>
    <w:p w14:paraId="1C4EB6D8">
      <w:pPr>
        <w:spacing w:line="360" w:lineRule="auto"/>
        <w:ind w:firstLine="420" w:firstLineChars="200"/>
      </w:pPr>
      <w:r>
        <w:t>（2）供应商在报价有效期内撤回报价；</w:t>
      </w:r>
    </w:p>
    <w:p w14:paraId="599AB70E">
      <w:pPr>
        <w:spacing w:line="360" w:lineRule="auto"/>
        <w:ind w:firstLine="420" w:firstLineChars="200"/>
      </w:pPr>
      <w:r>
        <w:t>（3）在整个谈判过程中，供应商有企图影响谈判结果的任何不当活动；</w:t>
      </w:r>
    </w:p>
    <w:p w14:paraId="259E308E">
      <w:pPr>
        <w:spacing w:line="360" w:lineRule="auto"/>
        <w:ind w:firstLine="420" w:firstLineChars="200"/>
      </w:pPr>
      <w:r>
        <w:t>（4）供应商串通报价或采用不正当竞争方式；</w:t>
      </w:r>
    </w:p>
    <w:p w14:paraId="17951F38">
      <w:pPr>
        <w:spacing w:line="360" w:lineRule="auto"/>
        <w:ind w:firstLine="420" w:firstLineChars="200"/>
      </w:pPr>
      <w:r>
        <w:t>（5）供应商以任何方式诋毁其他供应商；</w:t>
      </w:r>
    </w:p>
    <w:p w14:paraId="19A6556E">
      <w:pPr>
        <w:spacing w:line="360" w:lineRule="auto"/>
        <w:ind w:firstLine="420" w:firstLineChars="200"/>
      </w:pPr>
      <w:r>
        <w:t>（6）法律、法规规定的其他情况。</w:t>
      </w:r>
    </w:p>
    <w:p w14:paraId="7F8A2E68">
      <w:pPr>
        <w:spacing w:line="360" w:lineRule="auto"/>
        <w:ind w:firstLine="420" w:firstLineChars="200"/>
        <w:rPr>
          <w:rFonts w:hint="eastAsia"/>
        </w:rPr>
      </w:pPr>
      <w:r>
        <w:t>供应商有上述行为之一的，采购人将严格依照有关法律、法规及规章的规定行使其权利。供应商给采购人造成损失的，采购人有索赔的权利，供应商应予以赔偿。</w:t>
      </w:r>
    </w:p>
    <w:p w14:paraId="3BBDB5C3">
      <w:pPr>
        <w:spacing w:line="360" w:lineRule="auto"/>
        <w:ind w:firstLine="420" w:firstLineChars="200"/>
      </w:pPr>
      <w:r>
        <w:rPr>
          <w:rFonts w:hint="eastAsia"/>
        </w:rPr>
        <w:t>6</w:t>
      </w:r>
      <w:r>
        <w:t>.</w:t>
      </w:r>
      <w:r>
        <w:rPr>
          <w:rFonts w:hint="eastAsia"/>
        </w:rPr>
        <w:t>1.4</w:t>
      </w:r>
      <w:r>
        <w:t>响应文件计算错误的修正</w:t>
      </w:r>
    </w:p>
    <w:p w14:paraId="431814C7">
      <w:pPr>
        <w:spacing w:line="360" w:lineRule="auto"/>
        <w:ind w:firstLine="420" w:firstLineChars="200"/>
      </w:pPr>
      <w:r>
        <w:rPr>
          <w:rFonts w:hint="eastAsia"/>
        </w:rPr>
        <w:t>6.1</w:t>
      </w:r>
      <w:r>
        <w:t>.</w:t>
      </w:r>
      <w:r>
        <w:rPr>
          <w:rFonts w:hint="eastAsia"/>
        </w:rPr>
        <w:t>4.1</w:t>
      </w:r>
      <w:r>
        <w:t>谈判小组将对确定为实质上响应竞争性谈判文件要求的响应文件进行校核，看其是否有计算或表达上的错误，修正错误的原则如下：</w:t>
      </w:r>
    </w:p>
    <w:p w14:paraId="6BFB83A1">
      <w:pPr>
        <w:spacing w:line="360" w:lineRule="auto"/>
        <w:ind w:firstLine="420" w:firstLineChars="200"/>
      </w:pPr>
      <w:r>
        <w:t>（1）如果数字表示的金额和用文字表示的金额不一致时，应以文字表示的金额为准；</w:t>
      </w:r>
    </w:p>
    <w:p w14:paraId="6CB30C29">
      <w:pPr>
        <w:spacing w:line="360" w:lineRule="auto"/>
        <w:ind w:firstLine="420" w:firstLineChars="200"/>
      </w:pPr>
      <w:r>
        <w:t>（2）当单价与数量的乘积与合价不一致时，以单价为准，除非谈判小组认为单价有明显的小数点错误，此时应以标出的合价为准，并修改单价。</w:t>
      </w:r>
    </w:p>
    <w:p w14:paraId="391727B4">
      <w:pPr>
        <w:spacing w:line="360" w:lineRule="auto"/>
        <w:ind w:firstLine="420" w:firstLineChars="200"/>
      </w:pPr>
      <w:r>
        <w:rPr>
          <w:rFonts w:hint="eastAsia"/>
        </w:rPr>
        <w:t>6</w:t>
      </w:r>
      <w:r>
        <w:t>.</w:t>
      </w:r>
      <w:r>
        <w:rPr>
          <w:rFonts w:hint="eastAsia"/>
        </w:rPr>
        <w:t>1</w:t>
      </w:r>
      <w:r>
        <w:t>.</w:t>
      </w:r>
      <w:r>
        <w:rPr>
          <w:rFonts w:hint="eastAsia"/>
        </w:rPr>
        <w:t>4.2</w:t>
      </w:r>
      <w:r>
        <w:t>按上述修正错误的原则及方法调整或修正响应文件的报价，供应商同意后，调整后的报价对供应商起约束作用。如果供应商不接受修正后的报价，则其报价将被拒绝并且其报价保证金也将被没收，并不影响评审工作。</w:t>
      </w:r>
    </w:p>
    <w:p w14:paraId="6B705C8B">
      <w:pPr>
        <w:spacing w:line="360" w:lineRule="auto"/>
        <w:ind w:firstLine="420" w:firstLineChars="200"/>
      </w:pPr>
      <w:r>
        <w:rPr>
          <w:rFonts w:hint="eastAsia"/>
        </w:rPr>
        <w:t>6.1.5</w:t>
      </w:r>
      <w:r>
        <w:t>谈判</w:t>
      </w:r>
    </w:p>
    <w:p w14:paraId="6A6D7951">
      <w:pPr>
        <w:spacing w:line="360" w:lineRule="auto"/>
        <w:ind w:firstLine="420" w:firstLineChars="200"/>
      </w:pPr>
      <w:r>
        <w:t>在详细审阅各供应商的响应文件之后，谈判小组可根据各供应商响应文件编制情况组织谈判。供应商在接到采购代理机构的谈判通知后，应组织相关人员出席谈判。谈判时，由谈判小组提出问题，供应商应首先作出口头解答，然后形成书面文字，经授权代表签字后，在规定的时间内提交给谈判小组。</w:t>
      </w:r>
    </w:p>
    <w:p w14:paraId="581C1A34">
      <w:pPr>
        <w:spacing w:line="360" w:lineRule="auto"/>
        <w:ind w:firstLine="420" w:firstLineChars="200"/>
      </w:pPr>
      <w:r>
        <w:rPr>
          <w:rFonts w:hint="eastAsia"/>
        </w:rPr>
        <w:t>6.1.6</w:t>
      </w:r>
      <w:r>
        <w:t>最终报价</w:t>
      </w:r>
    </w:p>
    <w:p w14:paraId="649791FD">
      <w:pPr>
        <w:spacing w:line="360" w:lineRule="auto"/>
        <w:ind w:firstLine="420" w:firstLineChars="200"/>
        <w:rPr>
          <w:rFonts w:hint="eastAsia"/>
        </w:rPr>
      </w:pPr>
      <w:r>
        <w:rPr>
          <w:rFonts w:hint="eastAsia"/>
        </w:rPr>
        <w:t>谈判小组所有成员集中与单一供应商分别进行谈判</w:t>
      </w:r>
      <w:r>
        <w:t>，各供应商最终报价函必须经授权代表签字且按指定时间同时送达谈判小组，否则仍按原报价进行评审。</w:t>
      </w:r>
      <w:r>
        <w:rPr>
          <w:rFonts w:hint="eastAsia"/>
          <w:b/>
        </w:rPr>
        <w:t>多次报价中的优惠均有效，</w:t>
      </w:r>
      <w:r>
        <w:rPr>
          <w:rFonts w:hint="eastAsia" w:cs="Times New Roman"/>
        </w:rPr>
        <w:t>评审人员根据评分表内容对各个供应商进行打分，按照综合得分</w:t>
      </w:r>
      <w:r>
        <w:rPr>
          <w:rFonts w:hint="eastAsia"/>
        </w:rPr>
        <w:t>由高到低的顺序推荐2名成交候选人。</w:t>
      </w:r>
    </w:p>
    <w:p w14:paraId="11D9EBCD">
      <w:pPr>
        <w:spacing w:line="360" w:lineRule="auto"/>
        <w:ind w:firstLine="420" w:firstLineChars="200"/>
        <w:rPr>
          <w:rFonts w:hint="eastAsia"/>
        </w:rPr>
      </w:pPr>
      <w:r>
        <w:rPr>
          <w:rFonts w:hint="eastAsia"/>
        </w:rPr>
        <w:t>采购人从评审报告提出的成交候选人中，根据质量和服务均能满足谈判文件实质性响应要求且综合得分最高的原则确定成交供应商。</w:t>
      </w:r>
    </w:p>
    <w:p w14:paraId="5A6DB184">
      <w:pPr>
        <w:spacing w:line="360" w:lineRule="auto"/>
        <w:ind w:firstLine="420" w:firstLineChars="200"/>
        <w:rPr>
          <w:rFonts w:hint="eastAsia"/>
        </w:rPr>
      </w:pPr>
      <w:r>
        <w:rPr>
          <w:rFonts w:hint="eastAsia"/>
        </w:rPr>
        <w:t>当确定的成交供应商放弃成交或者因不可抗力提出不能履行合同时，采购人有权将合同授予报价排名第二的成交(候选)供应商，或重新采购。</w:t>
      </w:r>
    </w:p>
    <w:p w14:paraId="6282C333">
      <w:pPr>
        <w:spacing w:line="360" w:lineRule="auto"/>
        <w:ind w:firstLine="420" w:firstLineChars="200"/>
        <w:rPr>
          <w:rFonts w:hint="eastAsia"/>
        </w:rPr>
      </w:pPr>
      <w:r>
        <w:rPr>
          <w:rFonts w:hint="eastAsia"/>
        </w:rPr>
        <w:t>6.2、谈判小组经评审，认为所有报价都不符合竞争性谈判文件的要求的，可以否决所有报价，采购人将依法重新组织采购。</w:t>
      </w:r>
    </w:p>
    <w:p w14:paraId="3A302917">
      <w:pPr>
        <w:pStyle w:val="42"/>
        <w:rPr>
          <w:rStyle w:val="48"/>
          <w:b w:val="0"/>
          <w:bCs w:val="0"/>
        </w:rPr>
      </w:pPr>
      <w:r>
        <w:rPr>
          <w:rStyle w:val="48"/>
          <w:rFonts w:hint="eastAsia"/>
          <w:b w:val="0"/>
          <w:bCs w:val="0"/>
        </w:rPr>
        <w:t>7.合同授予</w:t>
      </w:r>
      <w:bookmarkEnd w:id="74"/>
      <w:bookmarkEnd w:id="75"/>
    </w:p>
    <w:p w14:paraId="63226F63">
      <w:pPr>
        <w:pStyle w:val="36"/>
      </w:pPr>
      <w:bookmarkStart w:id="76" w:name="_Toc507936047"/>
      <w:bookmarkStart w:id="77" w:name="_Toc506105855"/>
      <w:r>
        <w:rPr>
          <w:rFonts w:hint="eastAsia"/>
        </w:rPr>
        <w:t>7.1成交方式</w:t>
      </w:r>
      <w:bookmarkEnd w:id="76"/>
      <w:bookmarkEnd w:id="77"/>
    </w:p>
    <w:p w14:paraId="0D903ABA">
      <w:pPr>
        <w:spacing w:line="360" w:lineRule="auto"/>
        <w:ind w:firstLine="480"/>
        <w:rPr>
          <w:rFonts w:cs="仿宋"/>
        </w:rPr>
      </w:pPr>
      <w:r>
        <w:rPr>
          <w:rFonts w:hint="eastAsia" w:cs="仿宋"/>
        </w:rPr>
        <w:t>采购人根据评审报告中推荐的成交人候选人择优选定成交人。</w:t>
      </w:r>
    </w:p>
    <w:p w14:paraId="3ADF25C6">
      <w:pPr>
        <w:pStyle w:val="36"/>
      </w:pPr>
      <w:bookmarkStart w:id="78" w:name="_Toc506105856"/>
      <w:bookmarkStart w:id="79" w:name="_Toc507936048"/>
      <w:r>
        <w:rPr>
          <w:rFonts w:hint="eastAsia"/>
        </w:rPr>
        <w:t>7.2成交通知</w:t>
      </w:r>
      <w:bookmarkEnd w:id="78"/>
      <w:bookmarkEnd w:id="79"/>
    </w:p>
    <w:p w14:paraId="0FF2015F">
      <w:pPr>
        <w:spacing w:line="360" w:lineRule="auto"/>
        <w:ind w:firstLine="420" w:firstLineChars="200"/>
        <w:rPr>
          <w:rFonts w:cs="仿宋"/>
        </w:rPr>
      </w:pPr>
      <w:bookmarkStart w:id="80" w:name="_Toc506105857"/>
      <w:bookmarkStart w:id="81" w:name="_Toc507936049"/>
      <w:r>
        <w:rPr>
          <w:rFonts w:hint="eastAsia" w:cs="仿宋"/>
        </w:rPr>
        <w:t>成交结果通过</w:t>
      </w:r>
      <w:r>
        <w:rPr>
          <w:rFonts w:hint="eastAsia"/>
        </w:rPr>
        <w:t>济钢集团有限公司阳光购销平台</w:t>
      </w:r>
      <w:r>
        <w:rPr>
          <w:rFonts w:hint="eastAsia" w:cs="仿宋"/>
        </w:rPr>
        <w:t>公示。公示期结束后，采购人以书面形式向成交人发出成交通知书</w:t>
      </w:r>
    </w:p>
    <w:p w14:paraId="5D605290">
      <w:pPr>
        <w:pStyle w:val="36"/>
      </w:pPr>
      <w:r>
        <w:rPr>
          <w:rFonts w:hint="eastAsia"/>
        </w:rPr>
        <w:t>7.3履约担保</w:t>
      </w:r>
      <w:bookmarkEnd w:id="80"/>
      <w:bookmarkEnd w:id="81"/>
    </w:p>
    <w:p w14:paraId="4DEC60ED">
      <w:pPr>
        <w:spacing w:line="360" w:lineRule="auto"/>
        <w:ind w:firstLine="420" w:firstLineChars="200"/>
        <w:rPr>
          <w:rFonts w:cs="仿宋"/>
        </w:rPr>
      </w:pPr>
      <w:r>
        <w:rPr>
          <w:rFonts w:hint="eastAsia" w:cs="仿宋"/>
        </w:rPr>
        <w:t>7.3.1 签订合同前，成交人应按谈判须知前附表规定向采购人提交履约担保。</w:t>
      </w:r>
    </w:p>
    <w:p w14:paraId="1B94CCA0">
      <w:pPr>
        <w:spacing w:line="360" w:lineRule="auto"/>
        <w:ind w:firstLine="420" w:firstLineChars="200"/>
        <w:rPr>
          <w:rFonts w:hint="eastAsia" w:cs="仿宋"/>
          <w:bCs/>
        </w:rPr>
      </w:pPr>
      <w:r>
        <w:rPr>
          <w:rFonts w:hint="eastAsia" w:cs="仿宋"/>
          <w:bCs/>
        </w:rPr>
        <w:t xml:space="preserve">7.3.2 </w:t>
      </w:r>
      <w:r>
        <w:rPr>
          <w:rFonts w:hint="eastAsia" w:cs="仿宋"/>
        </w:rPr>
        <w:t>成交</w:t>
      </w:r>
      <w:r>
        <w:rPr>
          <w:rFonts w:hint="eastAsia" w:cs="仿宋"/>
          <w:bCs/>
        </w:rPr>
        <w:t>人不能按</w:t>
      </w:r>
      <w:r>
        <w:rPr>
          <w:rFonts w:hint="eastAsia" w:cs="仿宋"/>
        </w:rPr>
        <w:t>谈判邀请书规定</w:t>
      </w:r>
      <w:r>
        <w:rPr>
          <w:rFonts w:hint="eastAsia" w:cs="仿宋"/>
          <w:bCs/>
        </w:rPr>
        <w:t>要求提交履约担保的，视为放弃</w:t>
      </w:r>
      <w:r>
        <w:rPr>
          <w:rFonts w:hint="eastAsia" w:cs="仿宋"/>
        </w:rPr>
        <w:t>成交</w:t>
      </w:r>
      <w:r>
        <w:rPr>
          <w:rFonts w:hint="eastAsia" w:cs="仿宋"/>
          <w:bCs/>
        </w:rPr>
        <w:t>，其谈判保证金不予退还，给采购人造成的损失超过谈判保证金数额的，</w:t>
      </w:r>
      <w:r>
        <w:rPr>
          <w:rFonts w:hint="eastAsia" w:cs="仿宋"/>
        </w:rPr>
        <w:t>成交</w:t>
      </w:r>
      <w:r>
        <w:rPr>
          <w:rFonts w:hint="eastAsia" w:cs="仿宋"/>
          <w:bCs/>
        </w:rPr>
        <w:t>人还应当对超过部分予以赔偿。</w:t>
      </w:r>
    </w:p>
    <w:p w14:paraId="7937F666">
      <w:pPr>
        <w:pStyle w:val="36"/>
        <w:rPr>
          <w:rFonts w:hint="eastAsia"/>
        </w:rPr>
      </w:pPr>
      <w:r>
        <w:rPr>
          <w:rFonts w:hint="eastAsia"/>
        </w:rPr>
        <w:t>7.4签订合同</w:t>
      </w:r>
    </w:p>
    <w:p w14:paraId="5EED8E2E">
      <w:pPr>
        <w:spacing w:line="360" w:lineRule="auto"/>
        <w:ind w:firstLine="420" w:firstLineChars="200"/>
        <w:rPr>
          <w:rFonts w:hint="eastAsia" w:cs="仿宋"/>
        </w:rPr>
      </w:pPr>
      <w:r>
        <w:rPr>
          <w:rFonts w:cs="仿宋"/>
        </w:rPr>
        <w:t xml:space="preserve"> </w:t>
      </w:r>
      <w:r>
        <w:rPr>
          <w:rFonts w:hint="eastAsia" w:cs="仿宋"/>
        </w:rPr>
        <w:t>应当在成交通知书发出之日起7日内，根据谈判文件和供应商的响应文件订立书面合同。供应商无正当理由拒签合同，在签订合同时向采购人提出附加条件，或者不按照谈判文件要求提交履约保证金的，采购人有权取消其成交资格，其谈判保证金不予退还；给采购人造成的损失超过谈判保证金数额的，供应商还应当对超过部分予以赔偿。</w:t>
      </w:r>
    </w:p>
    <w:p w14:paraId="26754116">
      <w:pPr>
        <w:pStyle w:val="42"/>
        <w:rPr>
          <w:rStyle w:val="48"/>
          <w:rFonts w:hint="eastAsia"/>
          <w:b w:val="0"/>
          <w:bCs w:val="0"/>
        </w:rPr>
      </w:pPr>
      <w:bookmarkStart w:id="82" w:name="_Toc507936051"/>
      <w:bookmarkStart w:id="83" w:name="_Toc506105859"/>
      <w:r>
        <w:rPr>
          <w:rStyle w:val="48"/>
          <w:rFonts w:hint="eastAsia"/>
          <w:b w:val="0"/>
          <w:bCs w:val="0"/>
        </w:rPr>
        <w:t>8.重新</w:t>
      </w:r>
      <w:bookmarkEnd w:id="82"/>
      <w:bookmarkEnd w:id="83"/>
      <w:bookmarkStart w:id="84" w:name="_Toc506105860"/>
      <w:r>
        <w:rPr>
          <w:rStyle w:val="48"/>
          <w:rFonts w:hint="eastAsia"/>
          <w:b w:val="0"/>
          <w:bCs w:val="0"/>
        </w:rPr>
        <w:t>谈判</w:t>
      </w:r>
    </w:p>
    <w:bookmarkEnd w:id="84"/>
    <w:p w14:paraId="34374624">
      <w:pPr>
        <w:pStyle w:val="36"/>
        <w:rPr>
          <w:rFonts w:hint="eastAsia" w:eastAsia="宋体"/>
        </w:rPr>
      </w:pPr>
      <w:bookmarkStart w:id="85" w:name="_Toc507936052"/>
      <w:r>
        <w:rPr>
          <w:rFonts w:hint="eastAsia"/>
        </w:rPr>
        <w:t>8.1重新</w:t>
      </w:r>
      <w:bookmarkEnd w:id="85"/>
      <w:r>
        <w:rPr>
          <w:rFonts w:hint="eastAsia"/>
        </w:rPr>
        <w:t>谈判</w:t>
      </w:r>
    </w:p>
    <w:p w14:paraId="0A3F2C10">
      <w:pPr>
        <w:spacing w:line="360" w:lineRule="auto"/>
        <w:rPr>
          <w:rFonts w:cs="仿宋"/>
          <w:sz w:val="28"/>
          <w:szCs w:val="28"/>
        </w:rPr>
      </w:pPr>
      <w:r>
        <w:rPr>
          <w:rFonts w:hint="eastAsia" w:cs="仿宋"/>
        </w:rPr>
        <w:t>详见谈判须知前附表</w:t>
      </w:r>
    </w:p>
    <w:p w14:paraId="68EC6D5F">
      <w:pPr>
        <w:pStyle w:val="42"/>
        <w:rPr>
          <w:rStyle w:val="48"/>
          <w:b w:val="0"/>
          <w:bCs w:val="0"/>
        </w:rPr>
      </w:pPr>
      <w:bookmarkStart w:id="86" w:name="_Toc152045574"/>
      <w:bookmarkStart w:id="87" w:name="_Toc152042350"/>
      <w:bookmarkStart w:id="88" w:name="_Toc507936053"/>
      <w:bookmarkStart w:id="89" w:name="_Toc269310962"/>
      <w:bookmarkStart w:id="90" w:name="_Toc144974542"/>
      <w:bookmarkStart w:id="91" w:name="_Toc312072272"/>
      <w:bookmarkStart w:id="92" w:name="_Toc446434333"/>
      <w:r>
        <w:rPr>
          <w:rStyle w:val="48"/>
          <w:b w:val="0"/>
          <w:bCs w:val="0"/>
        </w:rPr>
        <w:t xml:space="preserve">9. </w:t>
      </w:r>
      <w:r>
        <w:rPr>
          <w:rStyle w:val="48"/>
          <w:rFonts w:hint="eastAsia"/>
          <w:b w:val="0"/>
          <w:bCs w:val="0"/>
        </w:rPr>
        <w:t>纪律和监督</w:t>
      </w:r>
      <w:bookmarkEnd w:id="86"/>
      <w:bookmarkEnd w:id="87"/>
      <w:bookmarkEnd w:id="88"/>
      <w:bookmarkEnd w:id="89"/>
      <w:bookmarkEnd w:id="90"/>
      <w:bookmarkEnd w:id="91"/>
      <w:bookmarkEnd w:id="92"/>
    </w:p>
    <w:p w14:paraId="77ACAB02">
      <w:pPr>
        <w:pStyle w:val="36"/>
        <w:rPr>
          <w:rFonts w:hint="eastAsia"/>
        </w:rPr>
      </w:pPr>
      <w:bookmarkStart w:id="93" w:name="_Toc507936054"/>
      <w:bookmarkStart w:id="94" w:name="_Toc152045580"/>
      <w:bookmarkStart w:id="95" w:name="_Toc269310968"/>
      <w:bookmarkStart w:id="96" w:name="_Toc507936059"/>
      <w:bookmarkStart w:id="97" w:name="_Toc152042357"/>
      <w:bookmarkStart w:id="98" w:name="_Toc312072278"/>
      <w:bookmarkStart w:id="99" w:name="_Toc144974547"/>
      <w:bookmarkStart w:id="100" w:name="_Toc446434339"/>
      <w:r>
        <w:rPr>
          <w:rFonts w:hint="eastAsia"/>
        </w:rPr>
        <w:t>9.1对采购人的纪律要求</w:t>
      </w:r>
      <w:bookmarkEnd w:id="93"/>
    </w:p>
    <w:p w14:paraId="4A7E2774">
      <w:pPr>
        <w:spacing w:line="400" w:lineRule="exact"/>
        <w:ind w:firstLine="420" w:firstLineChars="200"/>
      </w:pPr>
      <w:r>
        <w:rPr>
          <w:rFonts w:hint="eastAsia"/>
        </w:rPr>
        <w:t>采购人不得泄漏谈判活动中应当保密的情况和资料，不得与供应商串通损害国家利益、社会公共利益和他人合法权益。</w:t>
      </w:r>
    </w:p>
    <w:p w14:paraId="2C019F46">
      <w:pPr>
        <w:pStyle w:val="36"/>
        <w:rPr>
          <w:rFonts w:hint="eastAsia"/>
        </w:rPr>
      </w:pPr>
      <w:bookmarkStart w:id="101" w:name="_Toc507936055"/>
      <w:r>
        <w:rPr>
          <w:rFonts w:hint="eastAsia"/>
        </w:rPr>
        <w:t>9.2对供应商的纪律要求</w:t>
      </w:r>
      <w:bookmarkEnd w:id="101"/>
    </w:p>
    <w:p w14:paraId="4CE1C70E">
      <w:pPr>
        <w:spacing w:line="400" w:lineRule="exact"/>
        <w:ind w:firstLine="420" w:firstLineChars="200"/>
      </w:pPr>
      <w:r>
        <w:rPr>
          <w:rFonts w:hint="eastAsia"/>
        </w:rPr>
        <w:t>供应商不得相互串通或者与采购人串通，不得向采购人或者评审委员会成员行贿谋取</w:t>
      </w:r>
      <w:r>
        <w:rPr>
          <w:rFonts w:hint="eastAsia" w:cs="仿宋"/>
        </w:rPr>
        <w:t>成交</w:t>
      </w:r>
      <w:r>
        <w:rPr>
          <w:rFonts w:hint="eastAsia"/>
        </w:rPr>
        <w:t>，不得以他人名义参加谈判或者以其他方式弄虚作假骗取</w:t>
      </w:r>
      <w:r>
        <w:rPr>
          <w:rFonts w:hint="eastAsia" w:cs="仿宋"/>
        </w:rPr>
        <w:t>成交</w:t>
      </w:r>
      <w:r>
        <w:rPr>
          <w:rFonts w:hint="eastAsia"/>
        </w:rPr>
        <w:t>；供应商不得以任何方式干扰、影响评审工作。</w:t>
      </w:r>
    </w:p>
    <w:p w14:paraId="2F2F6874">
      <w:pPr>
        <w:pStyle w:val="36"/>
      </w:pPr>
      <w:bookmarkStart w:id="102" w:name="_Toc446434336"/>
      <w:bookmarkStart w:id="103" w:name="_Toc312072275"/>
      <w:bookmarkStart w:id="104" w:name="_Toc507936056"/>
      <w:r>
        <w:t xml:space="preserve">9.3 </w:t>
      </w:r>
      <w:r>
        <w:rPr>
          <w:rFonts w:hint="eastAsia"/>
        </w:rPr>
        <w:t>对评审委员会成员的纪律要求</w:t>
      </w:r>
      <w:bookmarkEnd w:id="102"/>
      <w:bookmarkEnd w:id="103"/>
      <w:bookmarkEnd w:id="104"/>
    </w:p>
    <w:p w14:paraId="3671D4A5">
      <w:pPr>
        <w:spacing w:line="400" w:lineRule="exact"/>
        <w:ind w:firstLine="420" w:firstLineChars="200"/>
      </w:pPr>
      <w:r>
        <w:rPr>
          <w:rFonts w:hint="eastAsia"/>
        </w:rPr>
        <w:t>评审委员会成员不得收受他人的财物或者其他好处，不得向他人透漏对响应文件的评审和比较、成交候选人的推荐情况以及与评审有关的其他情况。在评审活动中，评审委员会成员不得擅离职守，影响评审程序正常进行，不得使用第三章“评审办法”没有规定的评审因素和标准进行评审。</w:t>
      </w:r>
    </w:p>
    <w:p w14:paraId="0C751538">
      <w:pPr>
        <w:pStyle w:val="36"/>
      </w:pPr>
      <w:bookmarkStart w:id="105" w:name="_Toc312072276"/>
      <w:bookmarkStart w:id="106" w:name="_Toc507936057"/>
      <w:bookmarkStart w:id="107" w:name="_Toc446434337"/>
      <w:r>
        <w:t xml:space="preserve">9.4 </w:t>
      </w:r>
      <w:r>
        <w:rPr>
          <w:rFonts w:hint="eastAsia"/>
        </w:rPr>
        <w:t>对与评审活动有关的工作人员的纪律要求</w:t>
      </w:r>
      <w:bookmarkEnd w:id="105"/>
      <w:bookmarkEnd w:id="106"/>
      <w:bookmarkEnd w:id="107"/>
    </w:p>
    <w:p w14:paraId="6610B3AC">
      <w:pPr>
        <w:spacing w:line="400" w:lineRule="exact"/>
        <w:ind w:firstLine="420" w:firstLineChars="200"/>
      </w:pPr>
      <w:r>
        <w:rPr>
          <w:rFonts w:hint="eastAsia"/>
        </w:rPr>
        <w:t>与评审活动有关的工作人员不得收受他人的财物或者其他好处，不得向他人透漏对响应文件的评审和比较、</w:t>
      </w:r>
      <w:r>
        <w:rPr>
          <w:rFonts w:hint="eastAsia" w:cs="仿宋"/>
        </w:rPr>
        <w:t>成交</w:t>
      </w:r>
      <w:r>
        <w:rPr>
          <w:rFonts w:hint="eastAsia"/>
        </w:rPr>
        <w:t>候选人的推荐情况以及与评审有关的其他情况。在评审活动中，与评审活动有关的工作人员不得擅离职守，影响评审程序正常进行。</w:t>
      </w:r>
    </w:p>
    <w:p w14:paraId="5C5151EC">
      <w:pPr>
        <w:pStyle w:val="36"/>
      </w:pPr>
      <w:bookmarkStart w:id="108" w:name="_Toc446434338"/>
      <w:bookmarkStart w:id="109" w:name="_Toc507936058"/>
      <w:bookmarkStart w:id="110" w:name="_Toc312072277"/>
      <w:r>
        <w:t xml:space="preserve">9.5 </w:t>
      </w:r>
      <w:r>
        <w:rPr>
          <w:rFonts w:hint="eastAsia"/>
        </w:rPr>
        <w:t>投诉</w:t>
      </w:r>
      <w:bookmarkEnd w:id="108"/>
      <w:bookmarkEnd w:id="109"/>
      <w:bookmarkEnd w:id="110"/>
    </w:p>
    <w:p w14:paraId="4BB43E77">
      <w:pPr>
        <w:spacing w:line="400" w:lineRule="exact"/>
        <w:ind w:firstLine="420" w:firstLineChars="200"/>
      </w:pPr>
      <w:r>
        <w:rPr>
          <w:rFonts w:hint="eastAsia"/>
        </w:rPr>
        <w:t>供应商和其他利害关系人认为本次谈判活动违反法律、法规和规章规定的，有权向市建设行政主管部门和相关监督部门投诉。</w:t>
      </w:r>
    </w:p>
    <w:p w14:paraId="2DDE56B7">
      <w:pPr>
        <w:pStyle w:val="36"/>
        <w:jc w:val="center"/>
        <w:rPr>
          <w:rStyle w:val="48"/>
          <w:b w:val="0"/>
          <w:bCs w:val="0"/>
        </w:rPr>
      </w:pPr>
      <w:r>
        <w:rPr>
          <w:rStyle w:val="48"/>
          <w:b w:val="0"/>
          <w:bCs w:val="0"/>
        </w:rPr>
        <w:t xml:space="preserve">10. </w:t>
      </w:r>
      <w:r>
        <w:rPr>
          <w:rStyle w:val="48"/>
          <w:rFonts w:hint="eastAsia"/>
          <w:b w:val="0"/>
          <w:bCs w:val="0"/>
        </w:rPr>
        <w:t>需要补充的其他内容</w:t>
      </w:r>
      <w:bookmarkEnd w:id="94"/>
      <w:bookmarkEnd w:id="95"/>
      <w:bookmarkEnd w:id="96"/>
      <w:bookmarkEnd w:id="97"/>
      <w:bookmarkEnd w:id="98"/>
      <w:bookmarkEnd w:id="99"/>
      <w:bookmarkEnd w:id="100"/>
    </w:p>
    <w:p w14:paraId="223A38D2">
      <w:pPr>
        <w:pStyle w:val="36"/>
        <w:rPr>
          <w:rFonts w:hint="eastAsia" w:ascii="宋体" w:hAnsi="宋体" w:eastAsia="宋体" w:cs="仿宋"/>
          <w:bCs/>
          <w:color w:val="000000"/>
          <w:szCs w:val="24"/>
        </w:rPr>
      </w:pPr>
      <w:bookmarkStart w:id="111" w:name="_Toc507936060"/>
      <w:bookmarkStart w:id="112" w:name="_Toc506105866"/>
      <w:r>
        <w:rPr>
          <w:rFonts w:hint="eastAsia"/>
        </w:rPr>
        <w:t>10. 需要补充的其他内容</w:t>
      </w:r>
    </w:p>
    <w:p w14:paraId="1E27F3A0">
      <w:pPr>
        <w:pStyle w:val="33"/>
        <w:widowControl/>
        <w:spacing w:beforeLines="0" w:line="300" w:lineRule="auto"/>
        <w:jc w:val="both"/>
        <w:rPr>
          <w:rFonts w:hint="eastAsia" w:ascii="宋体" w:hAnsi="宋体" w:eastAsia="宋体" w:cs="仿宋"/>
          <w:b w:val="0"/>
          <w:bCs/>
          <w:color w:val="000000"/>
          <w:kern w:val="0"/>
          <w:sz w:val="24"/>
          <w:szCs w:val="24"/>
        </w:rPr>
      </w:pPr>
      <w:bookmarkStart w:id="113" w:name="_Toc16439"/>
      <w:bookmarkStart w:id="114" w:name="_Toc26208"/>
      <w:bookmarkStart w:id="115" w:name="_Toc22935"/>
      <w:r>
        <w:rPr>
          <w:rFonts w:hint="eastAsia" w:ascii="宋体" w:hAnsi="宋体" w:eastAsia="宋体" w:cs="仿宋"/>
          <w:b w:val="0"/>
          <w:bCs/>
          <w:color w:val="000000"/>
          <w:kern w:val="0"/>
          <w:sz w:val="24"/>
          <w:szCs w:val="24"/>
        </w:rPr>
        <w:t>附：否决响应条件</w:t>
      </w:r>
      <w:bookmarkEnd w:id="113"/>
      <w:bookmarkEnd w:id="114"/>
      <w:bookmarkEnd w:id="115"/>
    </w:p>
    <w:p w14:paraId="7CF29314">
      <w:pPr>
        <w:pStyle w:val="33"/>
        <w:widowControl/>
        <w:spacing w:beforeLines="0" w:line="300" w:lineRule="auto"/>
        <w:jc w:val="both"/>
        <w:rPr>
          <w:rFonts w:hint="eastAsia" w:ascii="宋体" w:hAnsi="宋体" w:eastAsia="宋体" w:cs="仿宋"/>
          <w:b w:val="0"/>
          <w:bCs/>
          <w:color w:val="000000"/>
          <w:kern w:val="0"/>
          <w:sz w:val="24"/>
          <w:szCs w:val="24"/>
        </w:rPr>
      </w:pPr>
      <w:bookmarkStart w:id="116" w:name="_Toc32256"/>
      <w:bookmarkStart w:id="117" w:name="_Toc21426"/>
      <w:bookmarkStart w:id="118" w:name="_Toc26414"/>
      <w:r>
        <w:rPr>
          <w:rFonts w:hint="eastAsia" w:ascii="宋体" w:hAnsi="宋体" w:eastAsia="宋体" w:cs="仿宋"/>
          <w:b w:val="0"/>
          <w:bCs/>
          <w:color w:val="000000"/>
          <w:kern w:val="0"/>
          <w:sz w:val="24"/>
          <w:szCs w:val="24"/>
        </w:rPr>
        <w:t>B0.总则</w:t>
      </w:r>
      <w:bookmarkEnd w:id="116"/>
      <w:bookmarkEnd w:id="117"/>
      <w:bookmarkEnd w:id="118"/>
    </w:p>
    <w:p w14:paraId="6B480431">
      <w:pPr>
        <w:pStyle w:val="33"/>
        <w:widowControl/>
        <w:spacing w:beforeLines="0" w:line="300" w:lineRule="auto"/>
        <w:jc w:val="both"/>
        <w:rPr>
          <w:rFonts w:hint="eastAsia" w:ascii="宋体" w:hAnsi="宋体" w:eastAsia="宋体" w:cs="仿宋"/>
          <w:b w:val="0"/>
          <w:bCs/>
          <w:color w:val="000000"/>
          <w:kern w:val="0"/>
          <w:sz w:val="24"/>
          <w:szCs w:val="24"/>
        </w:rPr>
      </w:pPr>
      <w:bookmarkStart w:id="119" w:name="_Toc6469"/>
      <w:bookmarkStart w:id="120" w:name="_Toc30747"/>
      <w:bookmarkStart w:id="121" w:name="_Toc20459"/>
      <w:r>
        <w:rPr>
          <w:rFonts w:hint="eastAsia" w:ascii="宋体" w:hAnsi="宋体" w:eastAsia="宋体" w:cs="仿宋"/>
          <w:b w:val="0"/>
          <w:bCs/>
          <w:color w:val="000000"/>
          <w:kern w:val="0"/>
          <w:sz w:val="24"/>
          <w:szCs w:val="24"/>
        </w:rPr>
        <w:t>本附件所集中列示的否决响应条件，是本章“评审办法”的组成部分，是对第二章“谈判须知”和本章正文部分所规定的否决响应条件的总结和补充。</w:t>
      </w:r>
      <w:bookmarkEnd w:id="119"/>
      <w:bookmarkEnd w:id="120"/>
      <w:bookmarkEnd w:id="121"/>
    </w:p>
    <w:p w14:paraId="561B3365">
      <w:pPr>
        <w:pStyle w:val="33"/>
        <w:widowControl/>
        <w:spacing w:beforeLines="0" w:line="300" w:lineRule="auto"/>
        <w:jc w:val="both"/>
        <w:rPr>
          <w:rFonts w:hint="eastAsia" w:ascii="宋体" w:hAnsi="宋体" w:eastAsia="宋体" w:cs="仿宋"/>
          <w:b w:val="0"/>
          <w:bCs/>
          <w:color w:val="000000"/>
          <w:kern w:val="0"/>
          <w:sz w:val="24"/>
          <w:szCs w:val="24"/>
        </w:rPr>
      </w:pPr>
      <w:bookmarkStart w:id="122" w:name="_Toc249"/>
      <w:bookmarkStart w:id="123" w:name="_Toc11807"/>
      <w:bookmarkStart w:id="124" w:name="_Toc21441"/>
      <w:r>
        <w:rPr>
          <w:rFonts w:hint="eastAsia" w:ascii="宋体" w:hAnsi="宋体" w:eastAsia="宋体" w:cs="仿宋"/>
          <w:b w:val="0"/>
          <w:bCs/>
          <w:color w:val="000000"/>
          <w:kern w:val="0"/>
          <w:sz w:val="24"/>
          <w:szCs w:val="24"/>
        </w:rPr>
        <w:t>B1.否决响应条件</w:t>
      </w:r>
      <w:bookmarkEnd w:id="122"/>
      <w:bookmarkEnd w:id="123"/>
      <w:bookmarkEnd w:id="124"/>
      <w:r>
        <w:rPr>
          <w:rFonts w:hint="eastAsia" w:ascii="宋体" w:hAnsi="宋体" w:eastAsia="宋体" w:cs="仿宋"/>
          <w:b w:val="0"/>
          <w:bCs/>
          <w:color w:val="000000"/>
          <w:kern w:val="0"/>
          <w:sz w:val="24"/>
          <w:szCs w:val="24"/>
        </w:rPr>
        <w:t xml:space="preserve"> </w:t>
      </w:r>
    </w:p>
    <w:p w14:paraId="039AC8E1">
      <w:pPr>
        <w:pStyle w:val="33"/>
        <w:widowControl/>
        <w:spacing w:beforeLines="0" w:line="300" w:lineRule="auto"/>
        <w:jc w:val="both"/>
        <w:rPr>
          <w:rFonts w:hint="eastAsia" w:ascii="宋体" w:hAnsi="宋体" w:eastAsia="宋体" w:cs="仿宋"/>
          <w:b w:val="0"/>
          <w:bCs/>
          <w:color w:val="000000"/>
          <w:kern w:val="0"/>
          <w:sz w:val="24"/>
          <w:szCs w:val="24"/>
        </w:rPr>
      </w:pPr>
      <w:r>
        <w:rPr>
          <w:rFonts w:hint="eastAsia" w:ascii="宋体" w:hAnsi="宋体" w:eastAsia="宋体" w:cs="仿宋"/>
          <w:b w:val="0"/>
          <w:bCs/>
          <w:color w:val="000000"/>
          <w:kern w:val="0"/>
          <w:sz w:val="24"/>
          <w:szCs w:val="24"/>
        </w:rPr>
        <w:t xml:space="preserve">    </w:t>
      </w:r>
      <w:bookmarkStart w:id="125" w:name="_Toc26061"/>
      <w:bookmarkStart w:id="126" w:name="_Toc31525"/>
      <w:bookmarkStart w:id="127" w:name="_Toc30173"/>
      <w:r>
        <w:rPr>
          <w:rFonts w:hint="eastAsia" w:ascii="宋体" w:hAnsi="宋体" w:eastAsia="宋体" w:cs="仿宋"/>
          <w:b w:val="0"/>
          <w:bCs/>
          <w:color w:val="000000"/>
          <w:kern w:val="0"/>
          <w:sz w:val="24"/>
          <w:szCs w:val="24"/>
        </w:rPr>
        <w:t>供应商或其响应文件有下列情形之一的，否决其响应资格：</w:t>
      </w:r>
      <w:bookmarkEnd w:id="125"/>
      <w:bookmarkEnd w:id="126"/>
      <w:bookmarkEnd w:id="127"/>
    </w:p>
    <w:p w14:paraId="2B2D51D5">
      <w:pPr>
        <w:pStyle w:val="33"/>
        <w:widowControl/>
        <w:spacing w:beforeLines="0" w:line="300" w:lineRule="auto"/>
        <w:jc w:val="both"/>
        <w:rPr>
          <w:rFonts w:hint="eastAsia" w:ascii="宋体" w:hAnsi="宋体" w:eastAsia="宋体" w:cs="仿宋"/>
          <w:b w:val="0"/>
          <w:bCs/>
          <w:color w:val="000000"/>
          <w:kern w:val="0"/>
          <w:sz w:val="24"/>
          <w:szCs w:val="24"/>
        </w:rPr>
      </w:pPr>
      <w:bookmarkStart w:id="128" w:name="_Toc2691"/>
      <w:bookmarkStart w:id="129" w:name="_Toc18948"/>
      <w:bookmarkStart w:id="130" w:name="_Toc332"/>
      <w:r>
        <w:rPr>
          <w:rFonts w:hint="eastAsia" w:ascii="宋体" w:hAnsi="宋体" w:eastAsia="宋体" w:cs="仿宋"/>
          <w:b w:val="0"/>
          <w:bCs/>
          <w:color w:val="000000"/>
          <w:kern w:val="0"/>
          <w:sz w:val="24"/>
          <w:szCs w:val="24"/>
        </w:rPr>
        <w:t>B1.1有第二章“谈判须知”规定的任何一种情形的。</w:t>
      </w:r>
      <w:bookmarkEnd w:id="128"/>
      <w:bookmarkEnd w:id="129"/>
      <w:bookmarkEnd w:id="130"/>
    </w:p>
    <w:p w14:paraId="4EB9D7A7">
      <w:pPr>
        <w:pStyle w:val="33"/>
        <w:widowControl/>
        <w:spacing w:beforeLines="0" w:line="300" w:lineRule="auto"/>
        <w:jc w:val="both"/>
        <w:rPr>
          <w:rFonts w:hint="eastAsia" w:ascii="宋体" w:hAnsi="宋体" w:eastAsia="宋体" w:cs="仿宋"/>
          <w:b w:val="0"/>
          <w:bCs/>
          <w:color w:val="000000"/>
          <w:kern w:val="0"/>
          <w:sz w:val="24"/>
          <w:szCs w:val="24"/>
        </w:rPr>
      </w:pPr>
      <w:bookmarkStart w:id="131" w:name="_Toc5867"/>
      <w:bookmarkStart w:id="132" w:name="_Toc13623"/>
      <w:bookmarkStart w:id="133" w:name="_Toc28035"/>
      <w:r>
        <w:rPr>
          <w:rFonts w:hint="eastAsia" w:ascii="宋体" w:hAnsi="宋体" w:eastAsia="宋体" w:cs="仿宋"/>
          <w:b w:val="0"/>
          <w:bCs/>
          <w:color w:val="000000"/>
          <w:kern w:val="0"/>
          <w:sz w:val="24"/>
          <w:szCs w:val="24"/>
        </w:rPr>
        <w:t>B1.2 有串通投标或弄虚作假或其他违法行为的，详见下款：</w:t>
      </w:r>
      <w:bookmarkEnd w:id="131"/>
      <w:bookmarkEnd w:id="132"/>
      <w:bookmarkEnd w:id="133"/>
    </w:p>
    <w:p w14:paraId="1D9BDD9F">
      <w:pPr>
        <w:pStyle w:val="33"/>
        <w:widowControl/>
        <w:spacing w:beforeLines="0" w:line="300" w:lineRule="auto"/>
        <w:jc w:val="both"/>
        <w:rPr>
          <w:rFonts w:hint="eastAsia" w:ascii="宋体" w:hAnsi="宋体" w:eastAsia="宋体" w:cs="仿宋"/>
          <w:b w:val="0"/>
          <w:bCs/>
          <w:color w:val="000000"/>
          <w:kern w:val="0"/>
          <w:sz w:val="24"/>
          <w:szCs w:val="24"/>
        </w:rPr>
      </w:pPr>
      <w:bookmarkStart w:id="134" w:name="_Toc29673"/>
      <w:bookmarkStart w:id="135" w:name="_Toc31820"/>
      <w:bookmarkStart w:id="136" w:name="_Toc18109"/>
      <w:r>
        <w:rPr>
          <w:rFonts w:hint="eastAsia" w:ascii="宋体" w:hAnsi="宋体" w:eastAsia="宋体" w:cs="仿宋"/>
          <w:b w:val="0"/>
          <w:bCs/>
          <w:color w:val="000000"/>
          <w:kern w:val="0"/>
          <w:sz w:val="24"/>
          <w:szCs w:val="24"/>
        </w:rPr>
        <w:t>B1.2.1供应商之间协商谈判报价等响应文件的实质性内容；</w:t>
      </w:r>
      <w:bookmarkEnd w:id="134"/>
      <w:bookmarkEnd w:id="135"/>
      <w:bookmarkEnd w:id="136"/>
    </w:p>
    <w:p w14:paraId="676CF5EA">
      <w:pPr>
        <w:pStyle w:val="33"/>
        <w:widowControl/>
        <w:spacing w:beforeLines="0" w:line="300" w:lineRule="auto"/>
        <w:jc w:val="both"/>
        <w:rPr>
          <w:rFonts w:hint="eastAsia" w:ascii="宋体" w:hAnsi="宋体" w:eastAsia="宋体" w:cs="仿宋"/>
          <w:b w:val="0"/>
          <w:bCs/>
          <w:color w:val="000000"/>
          <w:kern w:val="0"/>
          <w:sz w:val="24"/>
          <w:szCs w:val="24"/>
        </w:rPr>
      </w:pPr>
      <w:bookmarkStart w:id="137" w:name="_Toc27255"/>
      <w:bookmarkStart w:id="138" w:name="_Toc23669"/>
      <w:bookmarkStart w:id="139" w:name="_Toc23533"/>
      <w:r>
        <w:rPr>
          <w:rFonts w:hint="eastAsia" w:ascii="宋体" w:hAnsi="宋体" w:eastAsia="宋体" w:cs="仿宋"/>
          <w:b w:val="0"/>
          <w:bCs/>
          <w:color w:val="000000"/>
          <w:kern w:val="0"/>
          <w:sz w:val="24"/>
          <w:szCs w:val="24"/>
        </w:rPr>
        <w:t>B1.2.2供应商之间约定成交人；</w:t>
      </w:r>
      <w:bookmarkEnd w:id="137"/>
      <w:bookmarkEnd w:id="138"/>
      <w:bookmarkEnd w:id="139"/>
    </w:p>
    <w:p w14:paraId="5C63CFE5">
      <w:pPr>
        <w:pStyle w:val="33"/>
        <w:widowControl/>
        <w:spacing w:beforeLines="0" w:line="300" w:lineRule="auto"/>
        <w:jc w:val="both"/>
        <w:rPr>
          <w:rFonts w:hint="eastAsia" w:ascii="宋体" w:hAnsi="宋体" w:eastAsia="宋体" w:cs="仿宋"/>
          <w:b w:val="0"/>
          <w:bCs/>
          <w:color w:val="000000"/>
          <w:kern w:val="0"/>
          <w:sz w:val="24"/>
          <w:szCs w:val="24"/>
        </w:rPr>
      </w:pPr>
      <w:r>
        <w:rPr>
          <w:rFonts w:hint="eastAsia" w:ascii="宋体" w:hAnsi="宋体" w:eastAsia="宋体" w:cs="仿宋"/>
          <w:b w:val="0"/>
          <w:bCs/>
          <w:color w:val="000000"/>
          <w:kern w:val="0"/>
          <w:sz w:val="24"/>
          <w:szCs w:val="24"/>
        </w:rPr>
        <w:t xml:space="preserve"> </w:t>
      </w:r>
      <w:bookmarkStart w:id="140" w:name="_Toc25019"/>
      <w:bookmarkStart w:id="141" w:name="_Toc2650"/>
      <w:bookmarkStart w:id="142" w:name="_Toc28015"/>
      <w:r>
        <w:rPr>
          <w:rFonts w:hint="eastAsia" w:ascii="宋体" w:hAnsi="宋体" w:eastAsia="宋体" w:cs="仿宋"/>
          <w:b w:val="0"/>
          <w:bCs/>
          <w:color w:val="000000"/>
          <w:kern w:val="0"/>
          <w:sz w:val="24"/>
          <w:szCs w:val="24"/>
        </w:rPr>
        <w:t>B1.2.3供应商之间约定部分供应商放弃响应或者成交；</w:t>
      </w:r>
      <w:bookmarkEnd w:id="140"/>
      <w:bookmarkEnd w:id="141"/>
      <w:bookmarkEnd w:id="142"/>
    </w:p>
    <w:p w14:paraId="6EFEF15A">
      <w:pPr>
        <w:pStyle w:val="33"/>
        <w:widowControl/>
        <w:spacing w:beforeLines="0" w:line="300" w:lineRule="auto"/>
        <w:jc w:val="both"/>
        <w:rPr>
          <w:rFonts w:hint="eastAsia" w:ascii="宋体" w:hAnsi="宋体" w:eastAsia="宋体" w:cs="仿宋"/>
          <w:b w:val="0"/>
          <w:bCs/>
          <w:color w:val="000000"/>
          <w:kern w:val="0"/>
          <w:sz w:val="24"/>
          <w:szCs w:val="24"/>
        </w:rPr>
      </w:pPr>
      <w:r>
        <w:rPr>
          <w:rFonts w:hint="eastAsia" w:ascii="宋体" w:hAnsi="宋体" w:eastAsia="宋体" w:cs="仿宋"/>
          <w:b w:val="0"/>
          <w:bCs/>
          <w:color w:val="000000"/>
          <w:kern w:val="0"/>
          <w:sz w:val="24"/>
          <w:szCs w:val="24"/>
        </w:rPr>
        <w:t xml:space="preserve"> </w:t>
      </w:r>
      <w:bookmarkStart w:id="143" w:name="_Toc17042"/>
      <w:bookmarkStart w:id="144" w:name="_Toc28945"/>
      <w:bookmarkStart w:id="145" w:name="_Toc24905"/>
      <w:r>
        <w:rPr>
          <w:rFonts w:hint="eastAsia" w:ascii="宋体" w:hAnsi="宋体" w:eastAsia="宋体" w:cs="仿宋"/>
          <w:b w:val="0"/>
          <w:bCs/>
          <w:color w:val="000000"/>
          <w:kern w:val="0"/>
          <w:sz w:val="24"/>
          <w:szCs w:val="24"/>
        </w:rPr>
        <w:t>B1.2.4属于同一集团、协会、商会等组织成员的供应商按照该组织要求协同响应；</w:t>
      </w:r>
      <w:bookmarkEnd w:id="143"/>
      <w:bookmarkEnd w:id="144"/>
      <w:bookmarkEnd w:id="145"/>
    </w:p>
    <w:p w14:paraId="09AFFEE2">
      <w:pPr>
        <w:pStyle w:val="33"/>
        <w:widowControl/>
        <w:spacing w:beforeLines="0" w:line="300" w:lineRule="auto"/>
        <w:jc w:val="both"/>
        <w:rPr>
          <w:rFonts w:hint="eastAsia" w:ascii="宋体" w:hAnsi="宋体" w:eastAsia="宋体" w:cs="仿宋"/>
          <w:b w:val="0"/>
          <w:bCs/>
          <w:color w:val="000000"/>
          <w:kern w:val="0"/>
          <w:sz w:val="24"/>
          <w:szCs w:val="24"/>
        </w:rPr>
      </w:pPr>
      <w:r>
        <w:rPr>
          <w:rFonts w:hint="eastAsia" w:ascii="宋体" w:hAnsi="宋体" w:eastAsia="宋体" w:cs="仿宋"/>
          <w:b w:val="0"/>
          <w:bCs/>
          <w:color w:val="000000"/>
          <w:kern w:val="0"/>
          <w:sz w:val="24"/>
          <w:szCs w:val="24"/>
        </w:rPr>
        <w:t xml:space="preserve"> </w:t>
      </w:r>
      <w:bookmarkStart w:id="146" w:name="_Toc1494"/>
      <w:bookmarkStart w:id="147" w:name="_Toc28995"/>
      <w:bookmarkStart w:id="148" w:name="_Toc8624"/>
      <w:r>
        <w:rPr>
          <w:rFonts w:hint="eastAsia" w:ascii="宋体" w:hAnsi="宋体" w:eastAsia="宋体" w:cs="仿宋"/>
          <w:b w:val="0"/>
          <w:bCs/>
          <w:color w:val="000000"/>
          <w:kern w:val="0"/>
          <w:sz w:val="24"/>
          <w:szCs w:val="24"/>
        </w:rPr>
        <w:t>B1.2.5供应商之间为谋取成交或者排斥特定供应商而采取的其他联合行动；</w:t>
      </w:r>
      <w:bookmarkEnd w:id="146"/>
      <w:bookmarkEnd w:id="147"/>
      <w:bookmarkEnd w:id="148"/>
    </w:p>
    <w:p w14:paraId="65FC9DBA">
      <w:pPr>
        <w:pStyle w:val="33"/>
        <w:widowControl/>
        <w:spacing w:beforeLines="0" w:line="300" w:lineRule="auto"/>
        <w:jc w:val="both"/>
        <w:rPr>
          <w:rFonts w:hint="eastAsia" w:ascii="宋体" w:hAnsi="宋体" w:eastAsia="宋体" w:cs="仿宋"/>
          <w:b w:val="0"/>
          <w:bCs/>
          <w:color w:val="000000"/>
          <w:kern w:val="0"/>
          <w:sz w:val="24"/>
          <w:szCs w:val="24"/>
        </w:rPr>
      </w:pPr>
      <w:bookmarkStart w:id="149" w:name="_Toc4271"/>
      <w:bookmarkStart w:id="150" w:name="_Toc7585"/>
      <w:bookmarkStart w:id="151" w:name="_Toc32688"/>
      <w:r>
        <w:rPr>
          <w:rFonts w:hint="eastAsia" w:ascii="宋体" w:hAnsi="宋体" w:eastAsia="宋体" w:cs="仿宋"/>
          <w:b w:val="0"/>
          <w:bCs/>
          <w:color w:val="000000"/>
          <w:kern w:val="0"/>
          <w:sz w:val="24"/>
          <w:szCs w:val="24"/>
        </w:rPr>
        <w:t>B1.2.6不同供应商的响应文件由同一单位或者个人编制；</w:t>
      </w:r>
      <w:bookmarkEnd w:id="149"/>
      <w:bookmarkEnd w:id="150"/>
      <w:bookmarkEnd w:id="151"/>
    </w:p>
    <w:p w14:paraId="74F7BFE3">
      <w:pPr>
        <w:pStyle w:val="33"/>
        <w:widowControl/>
        <w:spacing w:beforeLines="0" w:line="300" w:lineRule="auto"/>
        <w:jc w:val="both"/>
        <w:rPr>
          <w:rFonts w:hint="eastAsia" w:ascii="宋体" w:hAnsi="宋体" w:eastAsia="宋体" w:cs="仿宋"/>
          <w:b w:val="0"/>
          <w:bCs/>
          <w:color w:val="000000"/>
          <w:kern w:val="0"/>
          <w:sz w:val="24"/>
          <w:szCs w:val="24"/>
        </w:rPr>
      </w:pPr>
      <w:bookmarkStart w:id="152" w:name="_Toc28358"/>
      <w:bookmarkStart w:id="153" w:name="_Toc14505"/>
      <w:bookmarkStart w:id="154" w:name="_Toc23376"/>
      <w:r>
        <w:rPr>
          <w:rFonts w:hint="eastAsia" w:ascii="宋体" w:hAnsi="宋体" w:eastAsia="宋体" w:cs="仿宋"/>
          <w:b w:val="0"/>
          <w:bCs/>
          <w:color w:val="000000"/>
          <w:kern w:val="0"/>
          <w:sz w:val="24"/>
          <w:szCs w:val="24"/>
        </w:rPr>
        <w:t>B1.2.7不同供应商委托同一单位或者个人办理响应事宜；</w:t>
      </w:r>
      <w:bookmarkEnd w:id="152"/>
      <w:bookmarkEnd w:id="153"/>
      <w:bookmarkEnd w:id="154"/>
    </w:p>
    <w:p w14:paraId="65A8DBF8">
      <w:pPr>
        <w:pStyle w:val="33"/>
        <w:widowControl/>
        <w:spacing w:beforeLines="0" w:line="300" w:lineRule="auto"/>
        <w:jc w:val="both"/>
        <w:rPr>
          <w:rFonts w:hint="eastAsia" w:ascii="宋体" w:hAnsi="宋体" w:eastAsia="宋体" w:cs="仿宋"/>
          <w:b w:val="0"/>
          <w:bCs/>
          <w:color w:val="000000"/>
          <w:kern w:val="0"/>
          <w:sz w:val="24"/>
          <w:szCs w:val="24"/>
        </w:rPr>
      </w:pPr>
      <w:bookmarkStart w:id="155" w:name="_Toc27336"/>
      <w:bookmarkStart w:id="156" w:name="_Toc15412"/>
      <w:bookmarkStart w:id="157" w:name="_Toc31726"/>
      <w:r>
        <w:rPr>
          <w:rFonts w:hint="eastAsia" w:ascii="宋体" w:hAnsi="宋体" w:eastAsia="宋体" w:cs="仿宋"/>
          <w:b w:val="0"/>
          <w:bCs/>
          <w:color w:val="000000"/>
          <w:kern w:val="0"/>
          <w:sz w:val="24"/>
          <w:szCs w:val="24"/>
        </w:rPr>
        <w:t>B1.2.8不同供应商的响应文件异常一致或者响应报价呈规律性差异；</w:t>
      </w:r>
      <w:bookmarkEnd w:id="155"/>
      <w:bookmarkEnd w:id="156"/>
      <w:bookmarkEnd w:id="157"/>
    </w:p>
    <w:p w14:paraId="64910F80">
      <w:pPr>
        <w:pStyle w:val="33"/>
        <w:widowControl/>
        <w:spacing w:beforeLines="0" w:line="300" w:lineRule="auto"/>
        <w:jc w:val="both"/>
        <w:rPr>
          <w:rFonts w:hint="eastAsia" w:ascii="宋体" w:hAnsi="宋体" w:eastAsia="宋体" w:cs="仿宋"/>
          <w:b w:val="0"/>
          <w:bCs/>
          <w:color w:val="000000"/>
          <w:kern w:val="0"/>
          <w:sz w:val="24"/>
          <w:szCs w:val="24"/>
        </w:rPr>
      </w:pPr>
      <w:bookmarkStart w:id="158" w:name="_Toc2932"/>
      <w:bookmarkStart w:id="159" w:name="_Toc26370"/>
      <w:bookmarkStart w:id="160" w:name="_Toc8708"/>
      <w:r>
        <w:rPr>
          <w:rFonts w:hint="eastAsia" w:ascii="宋体" w:hAnsi="宋体" w:eastAsia="宋体" w:cs="仿宋"/>
          <w:b w:val="0"/>
          <w:bCs/>
          <w:color w:val="000000"/>
          <w:kern w:val="0"/>
          <w:sz w:val="24"/>
          <w:szCs w:val="24"/>
        </w:rPr>
        <w:t>B1.2.9不同供应商的响应文件错漏之处一致的；</w:t>
      </w:r>
      <w:bookmarkEnd w:id="158"/>
      <w:bookmarkEnd w:id="159"/>
      <w:bookmarkEnd w:id="160"/>
    </w:p>
    <w:p w14:paraId="26EFA414">
      <w:pPr>
        <w:pStyle w:val="33"/>
        <w:widowControl/>
        <w:spacing w:beforeLines="0" w:line="300" w:lineRule="auto"/>
        <w:jc w:val="both"/>
        <w:rPr>
          <w:rFonts w:hint="eastAsia" w:ascii="宋体" w:hAnsi="宋体" w:eastAsia="宋体" w:cs="仿宋"/>
          <w:b w:val="0"/>
          <w:bCs/>
          <w:color w:val="000000"/>
          <w:kern w:val="0"/>
          <w:sz w:val="24"/>
          <w:szCs w:val="24"/>
        </w:rPr>
      </w:pPr>
      <w:bookmarkStart w:id="161" w:name="_Toc587"/>
      <w:bookmarkStart w:id="162" w:name="_Toc5037"/>
      <w:bookmarkStart w:id="163" w:name="_Toc27572"/>
      <w:r>
        <w:rPr>
          <w:rFonts w:hint="eastAsia" w:ascii="宋体" w:hAnsi="宋体" w:eastAsia="宋体" w:cs="仿宋"/>
          <w:b w:val="0"/>
          <w:bCs/>
          <w:color w:val="000000"/>
          <w:kern w:val="0"/>
          <w:sz w:val="24"/>
          <w:szCs w:val="24"/>
        </w:rPr>
        <w:t>B1.2.10不同供应商的响应文件相互混装；</w:t>
      </w:r>
      <w:bookmarkEnd w:id="161"/>
      <w:bookmarkEnd w:id="162"/>
      <w:bookmarkEnd w:id="163"/>
    </w:p>
    <w:p w14:paraId="2321BE9A">
      <w:pPr>
        <w:pStyle w:val="33"/>
        <w:widowControl/>
        <w:spacing w:beforeLines="0" w:line="300" w:lineRule="auto"/>
        <w:jc w:val="both"/>
        <w:rPr>
          <w:rFonts w:hint="eastAsia" w:ascii="宋体" w:hAnsi="宋体" w:eastAsia="宋体" w:cs="仿宋"/>
          <w:b w:val="0"/>
          <w:bCs/>
          <w:color w:val="000000"/>
          <w:kern w:val="0"/>
          <w:sz w:val="24"/>
          <w:szCs w:val="24"/>
        </w:rPr>
      </w:pPr>
      <w:bookmarkStart w:id="164" w:name="_Toc1511"/>
      <w:bookmarkStart w:id="165" w:name="_Toc22881"/>
      <w:bookmarkStart w:id="166" w:name="_Toc11508"/>
      <w:r>
        <w:rPr>
          <w:rFonts w:hint="eastAsia" w:ascii="宋体" w:hAnsi="宋体" w:eastAsia="宋体" w:cs="仿宋"/>
          <w:b w:val="0"/>
          <w:bCs/>
          <w:color w:val="000000"/>
          <w:kern w:val="0"/>
          <w:sz w:val="24"/>
          <w:szCs w:val="24"/>
        </w:rPr>
        <w:t>B1.2.11不同供应商的响应文件由同一台电脑编制或者同一台附属设备打印；</w:t>
      </w:r>
      <w:bookmarkEnd w:id="164"/>
      <w:bookmarkEnd w:id="165"/>
      <w:bookmarkEnd w:id="166"/>
    </w:p>
    <w:p w14:paraId="30E15954">
      <w:pPr>
        <w:pStyle w:val="33"/>
        <w:widowControl/>
        <w:spacing w:beforeLines="0" w:line="300" w:lineRule="auto"/>
        <w:jc w:val="both"/>
        <w:rPr>
          <w:rFonts w:hint="eastAsia" w:ascii="宋体" w:hAnsi="宋体" w:eastAsia="宋体" w:cs="仿宋"/>
          <w:b w:val="0"/>
          <w:bCs/>
          <w:color w:val="000000"/>
          <w:kern w:val="0"/>
          <w:sz w:val="24"/>
          <w:szCs w:val="24"/>
        </w:rPr>
      </w:pPr>
      <w:bookmarkStart w:id="167" w:name="_Toc7991"/>
      <w:bookmarkStart w:id="168" w:name="_Toc16574"/>
      <w:bookmarkStart w:id="169" w:name="_Toc3770"/>
      <w:r>
        <w:rPr>
          <w:rFonts w:hint="eastAsia" w:ascii="宋体" w:hAnsi="宋体" w:eastAsia="宋体" w:cs="仿宋"/>
          <w:b w:val="0"/>
          <w:bCs/>
          <w:color w:val="000000"/>
          <w:kern w:val="0"/>
          <w:sz w:val="24"/>
          <w:szCs w:val="24"/>
        </w:rPr>
        <w:t>B1.2.12不同供应商的谈判保证金从同一单位或者个人的账户转出；</w:t>
      </w:r>
      <w:bookmarkEnd w:id="167"/>
      <w:bookmarkEnd w:id="168"/>
      <w:bookmarkEnd w:id="169"/>
    </w:p>
    <w:p w14:paraId="377C36AF">
      <w:pPr>
        <w:pStyle w:val="33"/>
        <w:widowControl/>
        <w:spacing w:beforeLines="0" w:line="300" w:lineRule="auto"/>
        <w:jc w:val="both"/>
        <w:rPr>
          <w:rFonts w:hint="eastAsia" w:ascii="宋体" w:hAnsi="宋体" w:eastAsia="宋体" w:cs="仿宋"/>
          <w:b w:val="0"/>
          <w:bCs/>
          <w:color w:val="000000"/>
          <w:kern w:val="0"/>
          <w:sz w:val="24"/>
          <w:szCs w:val="24"/>
        </w:rPr>
      </w:pPr>
      <w:bookmarkStart w:id="170" w:name="_Toc13210"/>
      <w:bookmarkStart w:id="171" w:name="_Toc11543"/>
      <w:bookmarkStart w:id="172" w:name="_Toc13968"/>
      <w:r>
        <w:rPr>
          <w:rFonts w:hint="eastAsia" w:ascii="宋体" w:hAnsi="宋体" w:eastAsia="宋体" w:cs="仿宋"/>
          <w:b w:val="0"/>
          <w:bCs/>
          <w:color w:val="000000"/>
          <w:kern w:val="0"/>
          <w:sz w:val="24"/>
          <w:szCs w:val="24"/>
        </w:rPr>
        <w:t>B1.2.13不同供应商使用同一个人或者企业资金交纳响应保证金或者响应保函的反担保的；</w:t>
      </w:r>
      <w:bookmarkEnd w:id="170"/>
      <w:bookmarkEnd w:id="171"/>
      <w:bookmarkEnd w:id="172"/>
    </w:p>
    <w:p w14:paraId="74E150D4">
      <w:pPr>
        <w:pStyle w:val="33"/>
        <w:widowControl/>
        <w:spacing w:beforeLines="0" w:line="300" w:lineRule="auto"/>
        <w:jc w:val="both"/>
        <w:rPr>
          <w:rFonts w:hint="eastAsia" w:ascii="宋体" w:hAnsi="宋体" w:eastAsia="宋体" w:cs="仿宋"/>
          <w:b w:val="0"/>
          <w:bCs/>
          <w:color w:val="000000"/>
          <w:kern w:val="0"/>
          <w:sz w:val="24"/>
          <w:szCs w:val="24"/>
        </w:rPr>
      </w:pPr>
      <w:bookmarkStart w:id="173" w:name="_Toc19806"/>
      <w:bookmarkStart w:id="174" w:name="_Toc16474"/>
      <w:bookmarkStart w:id="175" w:name="_Toc23839"/>
      <w:r>
        <w:rPr>
          <w:rFonts w:hint="eastAsia" w:ascii="宋体" w:hAnsi="宋体" w:eastAsia="宋体" w:cs="仿宋"/>
          <w:b w:val="0"/>
          <w:bCs/>
          <w:color w:val="000000"/>
          <w:kern w:val="0"/>
          <w:sz w:val="24"/>
          <w:szCs w:val="24"/>
        </w:rPr>
        <w:t>B1.2.14使用伪造、变造的许可证件；</w:t>
      </w:r>
      <w:bookmarkEnd w:id="173"/>
      <w:bookmarkEnd w:id="174"/>
      <w:bookmarkEnd w:id="175"/>
    </w:p>
    <w:p w14:paraId="1A4AFFC6">
      <w:pPr>
        <w:pStyle w:val="33"/>
        <w:widowControl/>
        <w:spacing w:beforeLines="0" w:line="300" w:lineRule="auto"/>
        <w:jc w:val="both"/>
        <w:rPr>
          <w:rFonts w:hint="eastAsia" w:ascii="宋体" w:hAnsi="宋体" w:eastAsia="宋体" w:cs="仿宋"/>
          <w:b w:val="0"/>
          <w:bCs/>
          <w:color w:val="000000"/>
          <w:kern w:val="0"/>
          <w:sz w:val="24"/>
          <w:szCs w:val="24"/>
        </w:rPr>
      </w:pPr>
      <w:bookmarkStart w:id="176" w:name="_Toc29175"/>
      <w:bookmarkStart w:id="177" w:name="_Toc19135"/>
      <w:bookmarkStart w:id="178" w:name="_Toc21578"/>
      <w:r>
        <w:rPr>
          <w:rFonts w:hint="eastAsia" w:ascii="宋体" w:hAnsi="宋体" w:eastAsia="宋体" w:cs="仿宋"/>
          <w:b w:val="0"/>
          <w:bCs/>
          <w:color w:val="000000"/>
          <w:kern w:val="0"/>
          <w:sz w:val="24"/>
          <w:szCs w:val="24"/>
        </w:rPr>
        <w:t>B1.2.15提供虚假的财务状况或者业绩；</w:t>
      </w:r>
      <w:bookmarkEnd w:id="176"/>
      <w:bookmarkEnd w:id="177"/>
      <w:bookmarkEnd w:id="178"/>
    </w:p>
    <w:p w14:paraId="6C2C5C98">
      <w:pPr>
        <w:pStyle w:val="33"/>
        <w:widowControl/>
        <w:spacing w:beforeLines="0" w:line="300" w:lineRule="auto"/>
        <w:jc w:val="both"/>
        <w:rPr>
          <w:rFonts w:hint="eastAsia" w:ascii="宋体" w:hAnsi="宋体" w:eastAsia="宋体" w:cs="仿宋"/>
          <w:b w:val="0"/>
          <w:bCs/>
          <w:color w:val="000000"/>
          <w:kern w:val="0"/>
          <w:sz w:val="24"/>
          <w:szCs w:val="24"/>
        </w:rPr>
      </w:pPr>
      <w:bookmarkStart w:id="179" w:name="_Toc12773"/>
      <w:bookmarkStart w:id="180" w:name="_Toc2666"/>
      <w:bookmarkStart w:id="181" w:name="_Toc9474"/>
      <w:r>
        <w:rPr>
          <w:rFonts w:hint="eastAsia" w:ascii="宋体" w:hAnsi="宋体" w:eastAsia="宋体" w:cs="仿宋"/>
          <w:b w:val="0"/>
          <w:bCs/>
          <w:color w:val="000000"/>
          <w:kern w:val="0"/>
          <w:sz w:val="24"/>
          <w:szCs w:val="24"/>
        </w:rPr>
        <w:t>B1.2.16提供虚假的信用状况；</w:t>
      </w:r>
      <w:bookmarkEnd w:id="179"/>
      <w:bookmarkEnd w:id="180"/>
      <w:bookmarkEnd w:id="181"/>
    </w:p>
    <w:p w14:paraId="06FF4483">
      <w:pPr>
        <w:pStyle w:val="33"/>
        <w:widowControl/>
        <w:spacing w:beforeLines="0" w:line="300" w:lineRule="auto"/>
        <w:jc w:val="both"/>
        <w:rPr>
          <w:rFonts w:hint="eastAsia" w:ascii="宋体" w:hAnsi="宋体" w:eastAsia="宋体" w:cs="仿宋"/>
          <w:b w:val="0"/>
          <w:bCs/>
          <w:color w:val="000000"/>
          <w:kern w:val="0"/>
          <w:sz w:val="24"/>
          <w:szCs w:val="24"/>
        </w:rPr>
      </w:pPr>
      <w:bookmarkStart w:id="182" w:name="_Toc23179"/>
      <w:bookmarkStart w:id="183" w:name="_Toc12497"/>
      <w:bookmarkStart w:id="184" w:name="_Toc27633"/>
      <w:r>
        <w:rPr>
          <w:rFonts w:hint="eastAsia" w:ascii="宋体" w:hAnsi="宋体" w:eastAsia="宋体" w:cs="仿宋"/>
          <w:b w:val="0"/>
          <w:bCs/>
          <w:color w:val="000000"/>
          <w:kern w:val="0"/>
          <w:sz w:val="24"/>
          <w:szCs w:val="24"/>
        </w:rPr>
        <w:t>B1.2.17其他弄虚作假的行为；</w:t>
      </w:r>
      <w:bookmarkEnd w:id="182"/>
      <w:bookmarkEnd w:id="183"/>
      <w:bookmarkEnd w:id="184"/>
    </w:p>
    <w:p w14:paraId="3135E9E8">
      <w:pPr>
        <w:pStyle w:val="33"/>
        <w:widowControl/>
        <w:spacing w:beforeLines="0" w:line="300" w:lineRule="auto"/>
        <w:jc w:val="both"/>
        <w:rPr>
          <w:rFonts w:hint="eastAsia" w:ascii="宋体" w:hAnsi="宋体" w:eastAsia="宋体" w:cs="仿宋"/>
          <w:b w:val="0"/>
          <w:bCs/>
          <w:color w:val="000000"/>
          <w:kern w:val="0"/>
          <w:sz w:val="24"/>
          <w:szCs w:val="24"/>
        </w:rPr>
      </w:pPr>
      <w:bookmarkStart w:id="185" w:name="_Toc22832"/>
      <w:bookmarkStart w:id="186" w:name="_Toc4045"/>
      <w:bookmarkStart w:id="187" w:name="_Toc2471"/>
      <w:r>
        <w:rPr>
          <w:rFonts w:hint="eastAsia" w:ascii="宋体" w:hAnsi="宋体" w:eastAsia="宋体" w:cs="仿宋"/>
          <w:b w:val="0"/>
          <w:bCs/>
          <w:color w:val="000000"/>
          <w:kern w:val="0"/>
          <w:sz w:val="24"/>
          <w:szCs w:val="24"/>
        </w:rPr>
        <w:t>B1.2.18采购人在谈判前开启响应文件并将有关信息泄露给其他供应商；</w:t>
      </w:r>
      <w:bookmarkEnd w:id="185"/>
      <w:bookmarkEnd w:id="186"/>
      <w:bookmarkEnd w:id="187"/>
    </w:p>
    <w:p w14:paraId="3E05E4F0">
      <w:pPr>
        <w:pStyle w:val="33"/>
        <w:widowControl/>
        <w:spacing w:beforeLines="0" w:line="300" w:lineRule="auto"/>
        <w:jc w:val="both"/>
        <w:rPr>
          <w:rFonts w:hint="eastAsia" w:ascii="宋体" w:hAnsi="宋体" w:eastAsia="宋体" w:cs="仿宋"/>
          <w:b w:val="0"/>
          <w:bCs/>
          <w:color w:val="000000"/>
          <w:kern w:val="0"/>
          <w:sz w:val="24"/>
          <w:szCs w:val="24"/>
        </w:rPr>
      </w:pPr>
      <w:bookmarkStart w:id="188" w:name="_Toc26185"/>
      <w:bookmarkStart w:id="189" w:name="_Toc3700"/>
      <w:bookmarkStart w:id="190" w:name="_Toc7642"/>
      <w:r>
        <w:rPr>
          <w:rFonts w:hint="eastAsia" w:ascii="宋体" w:hAnsi="宋体" w:eastAsia="宋体" w:cs="仿宋"/>
          <w:b w:val="0"/>
          <w:bCs/>
          <w:color w:val="000000"/>
          <w:kern w:val="0"/>
          <w:sz w:val="24"/>
          <w:szCs w:val="24"/>
        </w:rPr>
        <w:t>B1.2.19采购人直接或者间接向供应商泄露底价、评审委员会成员等信息；</w:t>
      </w:r>
      <w:bookmarkEnd w:id="188"/>
      <w:bookmarkEnd w:id="189"/>
      <w:bookmarkEnd w:id="190"/>
    </w:p>
    <w:p w14:paraId="09E54844">
      <w:pPr>
        <w:pStyle w:val="33"/>
        <w:widowControl/>
        <w:spacing w:beforeLines="0" w:line="300" w:lineRule="auto"/>
        <w:jc w:val="both"/>
        <w:rPr>
          <w:rFonts w:hint="eastAsia" w:ascii="宋体" w:hAnsi="宋体" w:eastAsia="宋体" w:cs="仿宋"/>
          <w:b w:val="0"/>
          <w:bCs/>
          <w:color w:val="000000"/>
          <w:kern w:val="0"/>
          <w:sz w:val="24"/>
          <w:szCs w:val="24"/>
        </w:rPr>
      </w:pPr>
      <w:bookmarkStart w:id="191" w:name="_Toc5952"/>
      <w:bookmarkStart w:id="192" w:name="_Toc9473"/>
      <w:bookmarkStart w:id="193" w:name="_Toc8997"/>
      <w:r>
        <w:rPr>
          <w:rFonts w:hint="eastAsia" w:ascii="宋体" w:hAnsi="宋体" w:eastAsia="宋体" w:cs="仿宋"/>
          <w:b w:val="0"/>
          <w:bCs/>
          <w:color w:val="000000"/>
          <w:kern w:val="0"/>
          <w:sz w:val="24"/>
          <w:szCs w:val="24"/>
        </w:rPr>
        <w:t>B1.2.20采购人明示或者暗示供应商压低或者抬高报价；</w:t>
      </w:r>
      <w:bookmarkEnd w:id="191"/>
      <w:bookmarkEnd w:id="192"/>
      <w:bookmarkEnd w:id="193"/>
    </w:p>
    <w:p w14:paraId="0F4DD9C6">
      <w:pPr>
        <w:pStyle w:val="33"/>
        <w:widowControl/>
        <w:spacing w:beforeLines="0" w:line="300" w:lineRule="auto"/>
        <w:jc w:val="both"/>
        <w:rPr>
          <w:rFonts w:hint="eastAsia" w:ascii="宋体" w:hAnsi="宋体" w:eastAsia="宋体" w:cs="仿宋"/>
          <w:b w:val="0"/>
          <w:bCs/>
          <w:color w:val="000000"/>
          <w:kern w:val="0"/>
          <w:sz w:val="24"/>
          <w:szCs w:val="24"/>
        </w:rPr>
      </w:pPr>
      <w:bookmarkStart w:id="194" w:name="_Toc2893"/>
      <w:bookmarkStart w:id="195" w:name="_Toc7095"/>
      <w:bookmarkStart w:id="196" w:name="_Toc25670"/>
      <w:r>
        <w:rPr>
          <w:rFonts w:hint="eastAsia" w:ascii="宋体" w:hAnsi="宋体" w:eastAsia="宋体" w:cs="仿宋"/>
          <w:b w:val="0"/>
          <w:bCs/>
          <w:color w:val="000000"/>
          <w:kern w:val="0"/>
          <w:sz w:val="24"/>
          <w:szCs w:val="24"/>
        </w:rPr>
        <w:t>B1.2.21采购人授意供应商撤换、修改响应文件；</w:t>
      </w:r>
      <w:bookmarkEnd w:id="194"/>
      <w:bookmarkEnd w:id="195"/>
      <w:bookmarkEnd w:id="196"/>
    </w:p>
    <w:p w14:paraId="03B7AC39">
      <w:pPr>
        <w:pStyle w:val="33"/>
        <w:widowControl/>
        <w:spacing w:beforeLines="0" w:line="300" w:lineRule="auto"/>
        <w:jc w:val="both"/>
        <w:rPr>
          <w:rFonts w:hint="eastAsia" w:ascii="宋体" w:hAnsi="宋体" w:eastAsia="宋体" w:cs="仿宋"/>
          <w:b w:val="0"/>
          <w:bCs/>
          <w:color w:val="000000"/>
          <w:kern w:val="0"/>
          <w:sz w:val="24"/>
          <w:szCs w:val="24"/>
        </w:rPr>
      </w:pPr>
      <w:bookmarkStart w:id="197" w:name="_Toc28222"/>
      <w:bookmarkStart w:id="198" w:name="_Toc13206"/>
      <w:bookmarkStart w:id="199" w:name="_Toc9700"/>
      <w:r>
        <w:rPr>
          <w:rFonts w:hint="eastAsia" w:ascii="宋体" w:hAnsi="宋体" w:eastAsia="宋体" w:cs="仿宋"/>
          <w:b w:val="0"/>
          <w:bCs/>
          <w:color w:val="000000"/>
          <w:kern w:val="0"/>
          <w:sz w:val="24"/>
          <w:szCs w:val="24"/>
        </w:rPr>
        <w:t>B1.2.22采购人明示或者暗示供应商为特定供应商成交提供方便；</w:t>
      </w:r>
      <w:bookmarkEnd w:id="197"/>
      <w:bookmarkEnd w:id="198"/>
      <w:bookmarkEnd w:id="199"/>
    </w:p>
    <w:p w14:paraId="0B0E9C05">
      <w:pPr>
        <w:pStyle w:val="33"/>
        <w:widowControl/>
        <w:spacing w:beforeLines="0" w:line="300" w:lineRule="auto"/>
        <w:jc w:val="both"/>
        <w:rPr>
          <w:rFonts w:hint="eastAsia" w:ascii="宋体" w:hAnsi="宋体" w:eastAsia="宋体" w:cs="仿宋"/>
          <w:b w:val="0"/>
          <w:bCs/>
          <w:color w:val="000000"/>
          <w:kern w:val="0"/>
          <w:sz w:val="24"/>
          <w:szCs w:val="24"/>
        </w:rPr>
      </w:pPr>
      <w:bookmarkStart w:id="200" w:name="_Toc32227"/>
      <w:bookmarkStart w:id="201" w:name="_Toc2603"/>
      <w:bookmarkStart w:id="202" w:name="_Toc9444"/>
      <w:r>
        <w:rPr>
          <w:rFonts w:hint="eastAsia" w:ascii="宋体" w:hAnsi="宋体" w:eastAsia="宋体" w:cs="仿宋"/>
          <w:b w:val="0"/>
          <w:bCs/>
          <w:color w:val="000000"/>
          <w:kern w:val="0"/>
          <w:sz w:val="24"/>
          <w:szCs w:val="24"/>
        </w:rPr>
        <w:t>B1.2.23采购人与供应商为谋求特定供应商成交而采取的其他串通行为；</w:t>
      </w:r>
      <w:bookmarkEnd w:id="200"/>
      <w:bookmarkEnd w:id="201"/>
      <w:bookmarkEnd w:id="202"/>
    </w:p>
    <w:p w14:paraId="443EB19D">
      <w:pPr>
        <w:pStyle w:val="33"/>
        <w:widowControl/>
        <w:spacing w:beforeLines="0" w:line="300" w:lineRule="auto"/>
        <w:jc w:val="both"/>
        <w:rPr>
          <w:rFonts w:hint="eastAsia" w:ascii="宋体" w:hAnsi="宋体" w:eastAsia="宋体" w:cs="仿宋"/>
          <w:b w:val="0"/>
          <w:bCs/>
          <w:color w:val="000000"/>
          <w:kern w:val="0"/>
          <w:sz w:val="24"/>
          <w:szCs w:val="24"/>
        </w:rPr>
      </w:pPr>
      <w:bookmarkStart w:id="203" w:name="_Toc3438"/>
      <w:bookmarkStart w:id="204" w:name="_Toc6004"/>
      <w:bookmarkStart w:id="205" w:name="_Toc14431"/>
      <w:r>
        <w:rPr>
          <w:rFonts w:hint="eastAsia" w:ascii="宋体" w:hAnsi="宋体" w:eastAsia="宋体" w:cs="仿宋"/>
          <w:b w:val="0"/>
          <w:bCs/>
          <w:color w:val="000000"/>
          <w:kern w:val="0"/>
          <w:sz w:val="24"/>
          <w:szCs w:val="24"/>
        </w:rPr>
        <w:t>B1.2.24评审委员会认定的其他串通情形；</w:t>
      </w:r>
      <w:bookmarkEnd w:id="203"/>
      <w:bookmarkEnd w:id="204"/>
      <w:bookmarkEnd w:id="205"/>
    </w:p>
    <w:p w14:paraId="1D93E3A9">
      <w:pPr>
        <w:pStyle w:val="33"/>
        <w:widowControl/>
        <w:spacing w:beforeLines="0" w:line="300" w:lineRule="auto"/>
        <w:jc w:val="both"/>
        <w:rPr>
          <w:rFonts w:hint="eastAsia" w:ascii="宋体" w:hAnsi="宋体" w:eastAsia="宋体" w:cs="仿宋"/>
          <w:b w:val="0"/>
          <w:bCs/>
          <w:color w:val="000000"/>
          <w:kern w:val="0"/>
          <w:sz w:val="24"/>
          <w:szCs w:val="24"/>
        </w:rPr>
      </w:pPr>
      <w:bookmarkStart w:id="206" w:name="_Toc22876"/>
      <w:bookmarkStart w:id="207" w:name="_Toc10444"/>
      <w:bookmarkStart w:id="208" w:name="_Toc23431"/>
      <w:r>
        <w:rPr>
          <w:rFonts w:hint="eastAsia" w:ascii="宋体" w:hAnsi="宋体" w:eastAsia="宋体" w:cs="仿宋"/>
          <w:b w:val="0"/>
          <w:bCs/>
          <w:color w:val="000000"/>
          <w:kern w:val="0"/>
          <w:sz w:val="24"/>
          <w:szCs w:val="24"/>
        </w:rPr>
        <w:t>B1.3不按评审委员会要求澄清、说明或补正的。</w:t>
      </w:r>
      <w:bookmarkEnd w:id="206"/>
      <w:bookmarkEnd w:id="207"/>
      <w:bookmarkEnd w:id="208"/>
    </w:p>
    <w:p w14:paraId="12934AF9">
      <w:pPr>
        <w:pStyle w:val="33"/>
        <w:widowControl/>
        <w:spacing w:beforeLines="0" w:line="300" w:lineRule="auto"/>
        <w:jc w:val="both"/>
        <w:rPr>
          <w:rFonts w:hint="eastAsia" w:ascii="宋体" w:hAnsi="宋体" w:eastAsia="宋体" w:cs="仿宋"/>
          <w:b w:val="0"/>
          <w:bCs/>
          <w:color w:val="000000"/>
          <w:kern w:val="0"/>
          <w:sz w:val="24"/>
          <w:szCs w:val="24"/>
        </w:rPr>
      </w:pPr>
      <w:bookmarkStart w:id="209" w:name="_Toc11885"/>
      <w:bookmarkStart w:id="210" w:name="_Toc32136"/>
      <w:bookmarkStart w:id="211" w:name="_Toc10350"/>
      <w:r>
        <w:rPr>
          <w:rFonts w:hint="eastAsia" w:ascii="宋体" w:hAnsi="宋体" w:eastAsia="宋体" w:cs="仿宋"/>
          <w:b w:val="0"/>
          <w:bCs/>
          <w:color w:val="000000"/>
          <w:kern w:val="0"/>
          <w:sz w:val="24"/>
          <w:szCs w:val="24"/>
        </w:rPr>
        <w:t>B1.4在形式评审、资格评审（适用于未进行资格预审的）、响应性评审中，评审委员会认定供应商的响应文件不符合评审办法前附表中规定的任何一项评审标准的。</w:t>
      </w:r>
      <w:bookmarkEnd w:id="209"/>
      <w:bookmarkEnd w:id="210"/>
      <w:bookmarkEnd w:id="211"/>
    </w:p>
    <w:p w14:paraId="5B1FF877">
      <w:pPr>
        <w:pStyle w:val="33"/>
        <w:widowControl/>
        <w:spacing w:beforeLines="0" w:line="300" w:lineRule="auto"/>
        <w:jc w:val="both"/>
        <w:rPr>
          <w:rFonts w:hint="eastAsia" w:ascii="宋体" w:hAnsi="宋体" w:eastAsia="宋体" w:cs="仿宋"/>
          <w:b w:val="0"/>
          <w:bCs/>
          <w:color w:val="000000"/>
          <w:kern w:val="0"/>
          <w:sz w:val="24"/>
          <w:szCs w:val="24"/>
        </w:rPr>
      </w:pPr>
      <w:bookmarkStart w:id="212" w:name="_Toc9229"/>
      <w:bookmarkStart w:id="213" w:name="_Toc7628"/>
      <w:bookmarkStart w:id="214" w:name="_Toc582"/>
      <w:r>
        <w:rPr>
          <w:rFonts w:hint="eastAsia" w:ascii="宋体" w:hAnsi="宋体" w:eastAsia="宋体" w:cs="仿宋"/>
          <w:b w:val="0"/>
          <w:bCs/>
          <w:color w:val="000000"/>
          <w:kern w:val="0"/>
          <w:sz w:val="24"/>
          <w:szCs w:val="24"/>
        </w:rPr>
        <w:t>B1.5当供应商资格预审申请文件的内容发生重大变化时，其在响应文件中更新的资料，未能通过资格评审的（适用于已进行资格预审的）。</w:t>
      </w:r>
      <w:bookmarkEnd w:id="212"/>
      <w:bookmarkEnd w:id="213"/>
      <w:bookmarkEnd w:id="214"/>
    </w:p>
    <w:p w14:paraId="31620DC1">
      <w:pPr>
        <w:pStyle w:val="33"/>
        <w:widowControl/>
        <w:spacing w:beforeLines="0" w:line="300" w:lineRule="auto"/>
        <w:jc w:val="both"/>
        <w:rPr>
          <w:rFonts w:hint="eastAsia" w:ascii="宋体" w:hAnsi="宋体" w:eastAsia="宋体" w:cs="仿宋"/>
          <w:b w:val="0"/>
          <w:bCs/>
          <w:color w:val="000000"/>
          <w:kern w:val="0"/>
          <w:sz w:val="24"/>
          <w:szCs w:val="24"/>
        </w:rPr>
      </w:pPr>
      <w:bookmarkStart w:id="215" w:name="_Toc21797"/>
      <w:bookmarkStart w:id="216" w:name="_Toc16560"/>
      <w:bookmarkStart w:id="217" w:name="_Toc28698"/>
      <w:r>
        <w:rPr>
          <w:rFonts w:hint="eastAsia" w:ascii="宋体" w:hAnsi="宋体" w:eastAsia="宋体" w:cs="仿宋"/>
          <w:b w:val="0"/>
          <w:bCs/>
          <w:color w:val="000000"/>
          <w:kern w:val="0"/>
          <w:sz w:val="24"/>
          <w:szCs w:val="24"/>
        </w:rPr>
        <w:t>B1.6在技术和资信评审中，评审委员会认定供应商的响应未能通过此项评审的。</w:t>
      </w:r>
      <w:bookmarkEnd w:id="215"/>
      <w:bookmarkEnd w:id="216"/>
      <w:bookmarkEnd w:id="217"/>
    </w:p>
    <w:p w14:paraId="7313DD61">
      <w:pPr>
        <w:pStyle w:val="33"/>
        <w:widowControl/>
        <w:spacing w:beforeLines="0" w:line="300" w:lineRule="auto"/>
        <w:jc w:val="both"/>
        <w:rPr>
          <w:rFonts w:hint="eastAsia" w:ascii="宋体" w:hAnsi="宋体" w:eastAsia="宋体" w:cs="仿宋"/>
          <w:b w:val="0"/>
          <w:bCs/>
          <w:color w:val="000000"/>
          <w:kern w:val="0"/>
          <w:sz w:val="24"/>
          <w:szCs w:val="24"/>
        </w:rPr>
      </w:pPr>
      <w:bookmarkStart w:id="218" w:name="_Toc5012"/>
      <w:bookmarkStart w:id="219" w:name="_Toc13603"/>
      <w:bookmarkStart w:id="220" w:name="_Toc24337"/>
      <w:r>
        <w:rPr>
          <w:rFonts w:hint="eastAsia" w:ascii="宋体" w:hAnsi="宋体" w:eastAsia="宋体" w:cs="仿宋"/>
          <w:b w:val="0"/>
          <w:bCs/>
          <w:color w:val="000000"/>
          <w:kern w:val="0"/>
          <w:sz w:val="24"/>
          <w:szCs w:val="24"/>
        </w:rPr>
        <w:t>B1.7评审委员会认定供应商以低于成本报价竞争的。</w:t>
      </w:r>
      <w:bookmarkEnd w:id="218"/>
      <w:bookmarkEnd w:id="219"/>
      <w:bookmarkEnd w:id="220"/>
    </w:p>
    <w:p w14:paraId="1D26442A">
      <w:pPr>
        <w:pStyle w:val="39"/>
        <w:spacing w:before="156"/>
      </w:pPr>
      <w:bookmarkStart w:id="221" w:name="_Toc32451"/>
      <w:r>
        <w:rPr>
          <w:rFonts w:hint="eastAsia"/>
        </w:rPr>
        <w:t>第三章  评审办法</w:t>
      </w:r>
      <w:bookmarkEnd w:id="111"/>
      <w:bookmarkEnd w:id="112"/>
      <w:bookmarkEnd w:id="221"/>
    </w:p>
    <w:p w14:paraId="1A84BE98">
      <w:pPr>
        <w:tabs>
          <w:tab w:val="left" w:pos="6237"/>
        </w:tabs>
        <w:spacing w:line="360" w:lineRule="auto"/>
        <w:ind w:firstLine="420" w:firstLineChars="200"/>
        <w:rPr>
          <w:rFonts w:cs="仿宋"/>
          <w:bCs/>
        </w:rPr>
      </w:pPr>
      <w:r>
        <w:rPr>
          <w:rFonts w:hint="eastAsia" w:cs="仿宋"/>
          <w:bCs/>
        </w:rPr>
        <w:t>为规范谈判工作，制定本办法。</w:t>
      </w:r>
    </w:p>
    <w:p w14:paraId="7312C827">
      <w:pPr>
        <w:spacing w:line="360" w:lineRule="auto"/>
        <w:rPr>
          <w:rFonts w:cs="仿宋"/>
        </w:rPr>
      </w:pPr>
      <w:r>
        <w:rPr>
          <w:rFonts w:hint="eastAsia" w:cs="仿宋"/>
        </w:rPr>
        <w:t>一、评审方法</w:t>
      </w:r>
    </w:p>
    <w:p w14:paraId="1551E9A1">
      <w:pPr>
        <w:spacing w:line="360" w:lineRule="auto"/>
        <w:ind w:firstLine="420" w:firstLineChars="200"/>
        <w:rPr>
          <w:rFonts w:cs="仿宋"/>
          <w:bCs/>
        </w:rPr>
      </w:pPr>
      <w:r>
        <w:rPr>
          <w:rFonts w:hint="eastAsia" w:cs="仿宋"/>
          <w:bCs/>
        </w:rPr>
        <w:t>按综合评估法进行评审。</w:t>
      </w:r>
    </w:p>
    <w:p w14:paraId="1C78E01B">
      <w:pPr>
        <w:spacing w:line="360" w:lineRule="auto"/>
        <w:rPr>
          <w:rFonts w:cs="仿宋"/>
        </w:rPr>
      </w:pPr>
      <w:r>
        <w:rPr>
          <w:rFonts w:hint="eastAsia" w:cs="仿宋"/>
          <w:bCs/>
        </w:rPr>
        <w:t>二、评审原则</w:t>
      </w:r>
    </w:p>
    <w:p w14:paraId="576A1EC5">
      <w:pPr>
        <w:spacing w:line="360" w:lineRule="auto"/>
        <w:ind w:firstLine="420" w:firstLineChars="200"/>
        <w:rPr>
          <w:rFonts w:cs="仿宋"/>
        </w:rPr>
      </w:pPr>
      <w:r>
        <w:rPr>
          <w:rFonts w:hint="eastAsia" w:cs="仿宋"/>
          <w:bCs/>
        </w:rPr>
        <w:t>评审遵循公平、公正、科学、择优的原则。</w:t>
      </w:r>
    </w:p>
    <w:p w14:paraId="60B2E179">
      <w:pPr>
        <w:spacing w:line="360" w:lineRule="auto"/>
        <w:rPr>
          <w:rFonts w:cs="仿宋"/>
        </w:rPr>
      </w:pPr>
      <w:r>
        <w:rPr>
          <w:rFonts w:hint="eastAsia" w:cs="仿宋"/>
          <w:bCs/>
        </w:rPr>
        <w:t>三、评审组织及服务</w:t>
      </w:r>
    </w:p>
    <w:p w14:paraId="3B33EB62">
      <w:pPr>
        <w:spacing w:line="360" w:lineRule="auto"/>
        <w:ind w:firstLine="420" w:firstLineChars="200"/>
        <w:rPr>
          <w:rFonts w:cs="仿宋"/>
          <w:bCs/>
        </w:rPr>
      </w:pPr>
      <w:r>
        <w:rPr>
          <w:rFonts w:hint="eastAsia" w:cs="仿宋"/>
          <w:bCs/>
        </w:rPr>
        <w:t>1、为做好评审工作，成立评审委员会和工作小组。</w:t>
      </w:r>
    </w:p>
    <w:p w14:paraId="27AF3B87">
      <w:pPr>
        <w:spacing w:line="360" w:lineRule="auto"/>
        <w:ind w:firstLine="420" w:firstLineChars="200"/>
        <w:rPr>
          <w:rFonts w:cs="仿宋"/>
          <w:bCs/>
        </w:rPr>
      </w:pPr>
      <w:r>
        <w:rPr>
          <w:rFonts w:hint="eastAsia" w:cs="仿宋"/>
          <w:bCs/>
        </w:rPr>
        <w:t>2、评审委员会</w:t>
      </w:r>
    </w:p>
    <w:p w14:paraId="5C7F92C9">
      <w:pPr>
        <w:spacing w:line="360" w:lineRule="auto"/>
        <w:ind w:firstLine="420" w:firstLineChars="200"/>
        <w:rPr>
          <w:rFonts w:cs="仿宋"/>
          <w:bCs/>
        </w:rPr>
      </w:pPr>
      <w:r>
        <w:rPr>
          <w:rFonts w:hint="eastAsia" w:cs="仿宋"/>
          <w:bCs/>
        </w:rPr>
        <w:t>2.1评审委员会由采购人依法组建，评审委员会成员由采购人代表及熟悉相关业务的有关技术、经济等方面的专家组成。</w:t>
      </w:r>
    </w:p>
    <w:p w14:paraId="52CAD3E1">
      <w:pPr>
        <w:spacing w:line="360" w:lineRule="auto"/>
        <w:ind w:firstLine="420" w:firstLineChars="200"/>
        <w:rPr>
          <w:rFonts w:cs="仿宋"/>
          <w:bCs/>
        </w:rPr>
      </w:pPr>
      <w:r>
        <w:rPr>
          <w:rFonts w:hint="eastAsia" w:cs="仿宋"/>
          <w:bCs/>
        </w:rPr>
        <w:t>2.2评审委员会成员为3人及以上单数。</w:t>
      </w:r>
    </w:p>
    <w:p w14:paraId="329049E6">
      <w:pPr>
        <w:spacing w:line="360" w:lineRule="auto"/>
        <w:ind w:firstLine="420" w:firstLineChars="200"/>
        <w:rPr>
          <w:rFonts w:cs="仿宋"/>
          <w:bCs/>
        </w:rPr>
      </w:pPr>
      <w:r>
        <w:rPr>
          <w:rFonts w:hint="eastAsia" w:cs="仿宋"/>
          <w:bCs/>
        </w:rPr>
        <w:t>2.3评审工作由评审委员会负责。</w:t>
      </w:r>
    </w:p>
    <w:p w14:paraId="718A257E">
      <w:pPr>
        <w:spacing w:line="360" w:lineRule="auto"/>
        <w:ind w:firstLine="420" w:firstLineChars="200"/>
        <w:rPr>
          <w:rFonts w:cs="仿宋"/>
          <w:bCs/>
        </w:rPr>
      </w:pPr>
      <w:r>
        <w:rPr>
          <w:rFonts w:hint="eastAsia" w:cs="仿宋"/>
          <w:bCs/>
        </w:rPr>
        <w:t>3、工作小组</w:t>
      </w:r>
    </w:p>
    <w:p w14:paraId="2B7ECAA2">
      <w:pPr>
        <w:spacing w:line="360" w:lineRule="auto"/>
        <w:ind w:firstLine="420" w:firstLineChars="200"/>
        <w:rPr>
          <w:rFonts w:cs="仿宋"/>
          <w:bCs/>
        </w:rPr>
      </w:pPr>
      <w:r>
        <w:rPr>
          <w:rFonts w:hint="eastAsia" w:cs="仿宋"/>
          <w:bCs/>
        </w:rPr>
        <w:t>3.1由采购人组成工作小组，为评审委员会服务。</w:t>
      </w:r>
    </w:p>
    <w:p w14:paraId="53664574">
      <w:pPr>
        <w:spacing w:line="360" w:lineRule="auto"/>
        <w:ind w:firstLine="420" w:firstLineChars="200"/>
        <w:rPr>
          <w:rFonts w:cs="仿宋"/>
          <w:bCs/>
        </w:rPr>
      </w:pPr>
      <w:r>
        <w:rPr>
          <w:rFonts w:hint="eastAsia" w:cs="仿宋"/>
          <w:bCs/>
        </w:rPr>
        <w:t>3.2工作小组承担保管谈判文件、响应文件、发放评审资料、响应文件摘录汇总、基础数据对比及会议服务。</w:t>
      </w:r>
    </w:p>
    <w:p w14:paraId="6FEE7DAA">
      <w:pPr>
        <w:spacing w:line="360" w:lineRule="auto"/>
        <w:rPr>
          <w:rFonts w:cs="仿宋"/>
          <w:bCs/>
        </w:rPr>
      </w:pPr>
      <w:r>
        <w:rPr>
          <w:rFonts w:hint="eastAsia" w:cs="仿宋"/>
          <w:bCs/>
        </w:rPr>
        <w:t>四、评审程序及内容</w:t>
      </w:r>
    </w:p>
    <w:p w14:paraId="38F21C91">
      <w:pPr>
        <w:spacing w:line="360" w:lineRule="auto"/>
        <w:ind w:firstLine="420" w:firstLineChars="200"/>
        <w:rPr>
          <w:rFonts w:hint="eastAsia" w:cs="仿宋"/>
          <w:bCs/>
        </w:rPr>
      </w:pPr>
      <w:r>
        <w:rPr>
          <w:rFonts w:hint="eastAsia" w:cs="仿宋"/>
          <w:bCs/>
        </w:rPr>
        <w:t>1、评审方法：由资格审查、综合评估两部分。</w:t>
      </w:r>
    </w:p>
    <w:p w14:paraId="104DD75B">
      <w:pPr>
        <w:spacing w:line="360" w:lineRule="auto"/>
        <w:ind w:firstLine="420" w:firstLineChars="200"/>
        <w:rPr>
          <w:rFonts w:cs="仿宋"/>
          <w:bCs/>
        </w:rPr>
      </w:pPr>
      <w:r>
        <w:rPr>
          <w:rFonts w:hint="eastAsia" w:cs="仿宋"/>
          <w:bCs/>
        </w:rPr>
        <w:t>2、资格审查：按对供应商的资格要求、缴纳保证金等情况进行评审。详见《资格审查表》。</w:t>
      </w:r>
    </w:p>
    <w:p w14:paraId="2F54C899">
      <w:pPr>
        <w:spacing w:line="360" w:lineRule="auto"/>
        <w:ind w:firstLine="420" w:firstLineChars="200"/>
        <w:rPr>
          <w:rFonts w:cs="仿宋"/>
          <w:bCs/>
        </w:rPr>
      </w:pPr>
      <w:r>
        <w:rPr>
          <w:rFonts w:hint="eastAsia" w:cs="仿宋"/>
          <w:bCs/>
        </w:rPr>
        <w:t>3、综合评估：通过资格审查后，根据供应商的商务、技术和价格等进行综合评估。</w:t>
      </w:r>
    </w:p>
    <w:p w14:paraId="7C070848">
      <w:pPr>
        <w:spacing w:line="360" w:lineRule="auto"/>
        <w:rPr>
          <w:rFonts w:cs="仿宋"/>
          <w:bCs/>
        </w:rPr>
      </w:pPr>
      <w:r>
        <w:rPr>
          <w:rFonts w:hint="eastAsia" w:cs="仿宋"/>
          <w:bCs/>
        </w:rPr>
        <w:t>五、评审报告</w:t>
      </w:r>
    </w:p>
    <w:p w14:paraId="198F61DF">
      <w:pPr>
        <w:spacing w:line="360" w:lineRule="auto"/>
        <w:ind w:firstLine="420" w:firstLineChars="200"/>
        <w:rPr>
          <w:rFonts w:cs="仿宋"/>
          <w:bCs/>
        </w:rPr>
      </w:pPr>
      <w:r>
        <w:rPr>
          <w:rFonts w:hint="eastAsia" w:cs="仿宋"/>
          <w:bCs/>
        </w:rPr>
        <w:t>1、评审委员会根据评审情况和结果，向采购人提交评审报告。评审报告由评审委员会起草，评审委员会全体成员应在评审报告上签字确认，评审专家如有保留意见可以在评审报告中阐明。</w:t>
      </w:r>
    </w:p>
    <w:p w14:paraId="253BF087">
      <w:pPr>
        <w:spacing w:line="360" w:lineRule="auto"/>
        <w:ind w:firstLine="420" w:firstLineChars="200"/>
        <w:rPr>
          <w:rFonts w:cs="仿宋"/>
          <w:bCs/>
        </w:rPr>
      </w:pPr>
      <w:r>
        <w:rPr>
          <w:rFonts w:hint="eastAsia" w:cs="仿宋"/>
          <w:bCs/>
        </w:rPr>
        <w:t>2、评审委员会在评审报告中根据综合得分高低排序推荐前一至二名为成交候选人。</w:t>
      </w:r>
    </w:p>
    <w:p w14:paraId="7519E113">
      <w:pPr>
        <w:jc w:val="center"/>
        <w:rPr>
          <w:b/>
          <w:sz w:val="30"/>
          <w:szCs w:val="30"/>
        </w:rPr>
      </w:pPr>
      <w:r>
        <w:rPr>
          <w:rFonts w:hint="eastAsia"/>
          <w:b/>
          <w:sz w:val="30"/>
          <w:szCs w:val="30"/>
        </w:rPr>
        <w:br w:type="page"/>
      </w:r>
      <w:r>
        <w:rPr>
          <w:rFonts w:hint="eastAsia"/>
          <w:b/>
          <w:sz w:val="30"/>
          <w:szCs w:val="30"/>
        </w:rPr>
        <w:t>资格审查表</w:t>
      </w:r>
    </w:p>
    <w:p w14:paraId="7DE697CD">
      <w:pPr>
        <w:ind w:left="-708" w:leftChars="-337" w:firstLine="630" w:firstLineChars="300"/>
        <w:jc w:val="center"/>
        <w:rPr>
          <w:szCs w:val="21"/>
        </w:rPr>
      </w:pPr>
      <w:r>
        <w:rPr>
          <w:rFonts w:hint="eastAsia"/>
          <w:szCs w:val="21"/>
        </w:rPr>
        <w:t>编号：                 谈判时间：  年 月 日      审查日期：</w:t>
      </w:r>
    </w:p>
    <w:tbl>
      <w:tblPr>
        <w:tblStyle w:val="17"/>
        <w:tblW w:w="0" w:type="auto"/>
        <w:tblInd w:w="0" w:type="dxa"/>
        <w:tblLayout w:type="fixed"/>
        <w:tblCellMar>
          <w:top w:w="0" w:type="dxa"/>
          <w:left w:w="108" w:type="dxa"/>
          <w:bottom w:w="0" w:type="dxa"/>
          <w:right w:w="108" w:type="dxa"/>
        </w:tblCellMar>
      </w:tblPr>
      <w:tblGrid>
        <w:gridCol w:w="577"/>
        <w:gridCol w:w="1284"/>
        <w:gridCol w:w="1710"/>
        <w:gridCol w:w="1002"/>
        <w:gridCol w:w="436"/>
        <w:gridCol w:w="858"/>
        <w:gridCol w:w="1710"/>
        <w:gridCol w:w="2277"/>
      </w:tblGrid>
      <w:tr w14:paraId="748B3DEE">
        <w:tblPrEx>
          <w:tblCellMar>
            <w:top w:w="0" w:type="dxa"/>
            <w:left w:w="108" w:type="dxa"/>
            <w:bottom w:w="0" w:type="dxa"/>
            <w:right w:w="108" w:type="dxa"/>
          </w:tblCellMar>
        </w:tblPrEx>
        <w:trPr>
          <w:trHeight w:val="300" w:hRule="atLeast"/>
        </w:trPr>
        <w:tc>
          <w:tcPr>
            <w:tcW w:w="1861" w:type="dxa"/>
            <w:gridSpan w:val="2"/>
            <w:tcBorders>
              <w:top w:val="single" w:color="auto" w:sz="8" w:space="0"/>
              <w:left w:val="single" w:color="auto" w:sz="8" w:space="0"/>
              <w:bottom w:val="single" w:color="auto" w:sz="8" w:space="0"/>
              <w:right w:val="single" w:color="000000" w:sz="8" w:space="0"/>
            </w:tcBorders>
            <w:noWrap/>
            <w:vAlign w:val="center"/>
          </w:tcPr>
          <w:p w14:paraId="728953DA">
            <w:pPr>
              <w:jc w:val="center"/>
              <w:rPr>
                <w:szCs w:val="21"/>
              </w:rPr>
            </w:pPr>
            <w:r>
              <w:rPr>
                <w:rFonts w:hint="eastAsia"/>
                <w:szCs w:val="21"/>
              </w:rPr>
              <w:t>谈判名称</w:t>
            </w:r>
          </w:p>
        </w:tc>
        <w:tc>
          <w:tcPr>
            <w:tcW w:w="7993" w:type="dxa"/>
            <w:gridSpan w:val="6"/>
            <w:tcBorders>
              <w:top w:val="single" w:color="auto" w:sz="8" w:space="0"/>
              <w:left w:val="nil"/>
              <w:bottom w:val="single" w:color="auto" w:sz="8" w:space="0"/>
              <w:right w:val="single" w:color="000000" w:sz="8" w:space="0"/>
            </w:tcBorders>
            <w:noWrap/>
            <w:vAlign w:val="center"/>
          </w:tcPr>
          <w:p w14:paraId="13C223D1">
            <w:pPr>
              <w:jc w:val="center"/>
              <w:rPr>
                <w:szCs w:val="21"/>
              </w:rPr>
            </w:pPr>
          </w:p>
        </w:tc>
      </w:tr>
      <w:tr w14:paraId="3B138DC5">
        <w:tblPrEx>
          <w:tblCellMar>
            <w:top w:w="0" w:type="dxa"/>
            <w:left w:w="108" w:type="dxa"/>
            <w:bottom w:w="0" w:type="dxa"/>
            <w:right w:w="108" w:type="dxa"/>
          </w:tblCellMar>
        </w:tblPrEx>
        <w:trPr>
          <w:trHeight w:val="300" w:hRule="atLeast"/>
        </w:trPr>
        <w:tc>
          <w:tcPr>
            <w:tcW w:w="1861" w:type="dxa"/>
            <w:gridSpan w:val="2"/>
            <w:tcBorders>
              <w:top w:val="single" w:color="auto" w:sz="8" w:space="0"/>
              <w:left w:val="single" w:color="auto" w:sz="8" w:space="0"/>
              <w:bottom w:val="single" w:color="auto" w:sz="8" w:space="0"/>
              <w:right w:val="single" w:color="000000" w:sz="8" w:space="0"/>
            </w:tcBorders>
            <w:noWrap/>
            <w:vAlign w:val="center"/>
          </w:tcPr>
          <w:p w14:paraId="176BB489">
            <w:pPr>
              <w:jc w:val="center"/>
              <w:rPr>
                <w:szCs w:val="21"/>
              </w:rPr>
            </w:pPr>
            <w:r>
              <w:rPr>
                <w:rFonts w:hint="eastAsia"/>
                <w:szCs w:val="21"/>
              </w:rPr>
              <w:t>谈判内容</w:t>
            </w:r>
          </w:p>
        </w:tc>
        <w:tc>
          <w:tcPr>
            <w:tcW w:w="7993" w:type="dxa"/>
            <w:gridSpan w:val="6"/>
            <w:tcBorders>
              <w:top w:val="single" w:color="auto" w:sz="8" w:space="0"/>
              <w:left w:val="nil"/>
              <w:bottom w:val="single" w:color="auto" w:sz="8" w:space="0"/>
              <w:right w:val="single" w:color="000000" w:sz="8" w:space="0"/>
            </w:tcBorders>
            <w:noWrap/>
            <w:vAlign w:val="center"/>
          </w:tcPr>
          <w:p w14:paraId="6B0B9A91">
            <w:pPr>
              <w:jc w:val="center"/>
              <w:rPr>
                <w:szCs w:val="21"/>
              </w:rPr>
            </w:pPr>
          </w:p>
        </w:tc>
      </w:tr>
      <w:tr w14:paraId="51E884EA">
        <w:tblPrEx>
          <w:tblCellMar>
            <w:top w:w="0" w:type="dxa"/>
            <w:left w:w="108" w:type="dxa"/>
            <w:bottom w:w="0" w:type="dxa"/>
            <w:right w:w="108" w:type="dxa"/>
          </w:tblCellMar>
        </w:tblPrEx>
        <w:trPr>
          <w:trHeight w:val="300" w:hRule="atLeast"/>
        </w:trPr>
        <w:tc>
          <w:tcPr>
            <w:tcW w:w="577" w:type="dxa"/>
            <w:tcBorders>
              <w:top w:val="nil"/>
              <w:left w:val="single" w:color="auto" w:sz="8" w:space="0"/>
              <w:bottom w:val="single" w:color="auto" w:sz="8" w:space="0"/>
              <w:right w:val="single" w:color="auto" w:sz="8" w:space="0"/>
            </w:tcBorders>
            <w:noWrap/>
            <w:vAlign w:val="center"/>
          </w:tcPr>
          <w:p w14:paraId="4E1DEE5D">
            <w:pPr>
              <w:jc w:val="center"/>
              <w:rPr>
                <w:szCs w:val="21"/>
              </w:rPr>
            </w:pPr>
            <w:r>
              <w:rPr>
                <w:rFonts w:hint="eastAsia"/>
                <w:szCs w:val="21"/>
              </w:rPr>
              <w:t>序号</w:t>
            </w:r>
          </w:p>
        </w:tc>
        <w:tc>
          <w:tcPr>
            <w:tcW w:w="2994" w:type="dxa"/>
            <w:gridSpan w:val="2"/>
            <w:tcBorders>
              <w:top w:val="single" w:color="auto" w:sz="8" w:space="0"/>
              <w:left w:val="nil"/>
              <w:bottom w:val="single" w:color="auto" w:sz="8" w:space="0"/>
              <w:right w:val="single" w:color="000000" w:sz="8" w:space="0"/>
            </w:tcBorders>
            <w:noWrap/>
            <w:vAlign w:val="center"/>
          </w:tcPr>
          <w:p w14:paraId="3BEF13BD">
            <w:pPr>
              <w:jc w:val="center"/>
              <w:rPr>
                <w:szCs w:val="21"/>
              </w:rPr>
            </w:pPr>
            <w:r>
              <w:rPr>
                <w:rFonts w:hint="eastAsia"/>
                <w:szCs w:val="21"/>
              </w:rPr>
              <w:t>报名单位</w:t>
            </w:r>
          </w:p>
        </w:tc>
        <w:tc>
          <w:tcPr>
            <w:tcW w:w="1002" w:type="dxa"/>
            <w:tcBorders>
              <w:top w:val="nil"/>
              <w:left w:val="nil"/>
              <w:bottom w:val="single" w:color="auto" w:sz="8" w:space="0"/>
              <w:right w:val="single" w:color="auto" w:sz="8" w:space="0"/>
            </w:tcBorders>
            <w:noWrap/>
            <w:vAlign w:val="center"/>
          </w:tcPr>
          <w:p w14:paraId="0FB126D0">
            <w:pPr>
              <w:jc w:val="center"/>
              <w:rPr>
                <w:szCs w:val="21"/>
              </w:rPr>
            </w:pPr>
            <w:r>
              <w:rPr>
                <w:rFonts w:hint="eastAsia"/>
                <w:szCs w:val="21"/>
              </w:rPr>
              <w:t>注册资金</w:t>
            </w:r>
          </w:p>
        </w:tc>
        <w:tc>
          <w:tcPr>
            <w:tcW w:w="436" w:type="dxa"/>
            <w:tcBorders>
              <w:top w:val="nil"/>
              <w:left w:val="nil"/>
              <w:bottom w:val="single" w:color="auto" w:sz="8" w:space="0"/>
              <w:right w:val="single" w:color="auto" w:sz="8" w:space="0"/>
            </w:tcBorders>
            <w:vAlign w:val="center"/>
          </w:tcPr>
          <w:p w14:paraId="4463C410">
            <w:pPr>
              <w:jc w:val="center"/>
              <w:rPr>
                <w:szCs w:val="21"/>
              </w:rPr>
            </w:pPr>
            <w:r>
              <w:rPr>
                <w:rFonts w:hint="eastAsia"/>
                <w:szCs w:val="21"/>
              </w:rPr>
              <w:t>业绩</w:t>
            </w:r>
          </w:p>
        </w:tc>
        <w:tc>
          <w:tcPr>
            <w:tcW w:w="858" w:type="dxa"/>
            <w:tcBorders>
              <w:top w:val="nil"/>
              <w:left w:val="nil"/>
              <w:bottom w:val="single" w:color="auto" w:sz="8" w:space="0"/>
              <w:right w:val="single" w:color="auto" w:sz="8" w:space="0"/>
            </w:tcBorders>
            <w:noWrap/>
            <w:vAlign w:val="center"/>
          </w:tcPr>
          <w:p w14:paraId="28E75F66">
            <w:pPr>
              <w:jc w:val="center"/>
              <w:rPr>
                <w:szCs w:val="21"/>
              </w:rPr>
            </w:pPr>
            <w:r>
              <w:rPr>
                <w:rFonts w:hint="eastAsia"/>
                <w:szCs w:val="21"/>
              </w:rPr>
              <w:t>联系人</w:t>
            </w:r>
          </w:p>
        </w:tc>
        <w:tc>
          <w:tcPr>
            <w:tcW w:w="1710" w:type="dxa"/>
            <w:tcBorders>
              <w:top w:val="nil"/>
              <w:left w:val="nil"/>
              <w:bottom w:val="single" w:color="auto" w:sz="8" w:space="0"/>
              <w:right w:val="single" w:color="auto" w:sz="8" w:space="0"/>
            </w:tcBorders>
            <w:noWrap/>
            <w:vAlign w:val="center"/>
          </w:tcPr>
          <w:p w14:paraId="7AD1CC3D">
            <w:pPr>
              <w:jc w:val="center"/>
              <w:rPr>
                <w:szCs w:val="21"/>
              </w:rPr>
            </w:pPr>
            <w:r>
              <w:rPr>
                <w:rFonts w:hint="eastAsia"/>
                <w:szCs w:val="21"/>
              </w:rPr>
              <w:t>联系电话</w:t>
            </w:r>
          </w:p>
        </w:tc>
        <w:tc>
          <w:tcPr>
            <w:tcW w:w="2277" w:type="dxa"/>
            <w:tcBorders>
              <w:top w:val="nil"/>
              <w:left w:val="nil"/>
              <w:bottom w:val="single" w:color="auto" w:sz="8" w:space="0"/>
              <w:right w:val="single" w:color="auto" w:sz="8" w:space="0"/>
            </w:tcBorders>
            <w:noWrap/>
            <w:vAlign w:val="center"/>
          </w:tcPr>
          <w:p w14:paraId="13E79DDB">
            <w:pPr>
              <w:jc w:val="center"/>
              <w:rPr>
                <w:szCs w:val="21"/>
              </w:rPr>
            </w:pPr>
            <w:r>
              <w:rPr>
                <w:rFonts w:hint="eastAsia"/>
                <w:szCs w:val="21"/>
              </w:rPr>
              <w:t>包号</w:t>
            </w:r>
          </w:p>
        </w:tc>
      </w:tr>
      <w:tr w14:paraId="78B86C77">
        <w:tblPrEx>
          <w:tblCellMar>
            <w:top w:w="0" w:type="dxa"/>
            <w:left w:w="108" w:type="dxa"/>
            <w:bottom w:w="0" w:type="dxa"/>
            <w:right w:w="108" w:type="dxa"/>
          </w:tblCellMar>
        </w:tblPrEx>
        <w:trPr>
          <w:trHeight w:val="300" w:hRule="atLeast"/>
        </w:trPr>
        <w:tc>
          <w:tcPr>
            <w:tcW w:w="577" w:type="dxa"/>
            <w:tcBorders>
              <w:top w:val="nil"/>
              <w:left w:val="single" w:color="auto" w:sz="8" w:space="0"/>
              <w:bottom w:val="single" w:color="auto" w:sz="8" w:space="0"/>
              <w:right w:val="single" w:color="auto" w:sz="8" w:space="0"/>
            </w:tcBorders>
            <w:noWrap/>
            <w:vAlign w:val="center"/>
          </w:tcPr>
          <w:p w14:paraId="195BB1DD">
            <w:pPr>
              <w:jc w:val="center"/>
              <w:rPr>
                <w:szCs w:val="21"/>
              </w:rPr>
            </w:pPr>
            <w:r>
              <w:rPr>
                <w:rFonts w:hint="eastAsia"/>
                <w:szCs w:val="21"/>
              </w:rPr>
              <w:t>1</w:t>
            </w:r>
          </w:p>
        </w:tc>
        <w:tc>
          <w:tcPr>
            <w:tcW w:w="2994" w:type="dxa"/>
            <w:gridSpan w:val="2"/>
            <w:tcBorders>
              <w:top w:val="single" w:color="auto" w:sz="8" w:space="0"/>
              <w:left w:val="nil"/>
              <w:bottom w:val="single" w:color="auto" w:sz="8" w:space="0"/>
              <w:right w:val="single" w:color="000000" w:sz="8" w:space="0"/>
            </w:tcBorders>
            <w:noWrap/>
            <w:vAlign w:val="center"/>
          </w:tcPr>
          <w:p w14:paraId="19F73C63">
            <w:pPr>
              <w:jc w:val="center"/>
              <w:rPr>
                <w:szCs w:val="21"/>
              </w:rPr>
            </w:pPr>
          </w:p>
        </w:tc>
        <w:tc>
          <w:tcPr>
            <w:tcW w:w="1002" w:type="dxa"/>
            <w:tcBorders>
              <w:top w:val="nil"/>
              <w:left w:val="nil"/>
              <w:bottom w:val="single" w:color="auto" w:sz="8" w:space="0"/>
              <w:right w:val="single" w:color="auto" w:sz="8" w:space="0"/>
            </w:tcBorders>
            <w:noWrap/>
            <w:vAlign w:val="center"/>
          </w:tcPr>
          <w:p w14:paraId="615A8F77">
            <w:pPr>
              <w:jc w:val="center"/>
              <w:rPr>
                <w:szCs w:val="21"/>
              </w:rPr>
            </w:pPr>
          </w:p>
        </w:tc>
        <w:tc>
          <w:tcPr>
            <w:tcW w:w="436" w:type="dxa"/>
            <w:tcBorders>
              <w:top w:val="nil"/>
              <w:left w:val="nil"/>
              <w:bottom w:val="single" w:color="auto" w:sz="8" w:space="0"/>
              <w:right w:val="single" w:color="auto" w:sz="8" w:space="0"/>
            </w:tcBorders>
            <w:noWrap/>
            <w:vAlign w:val="center"/>
          </w:tcPr>
          <w:p w14:paraId="35974098">
            <w:pPr>
              <w:jc w:val="center"/>
              <w:rPr>
                <w:szCs w:val="21"/>
              </w:rPr>
            </w:pPr>
          </w:p>
        </w:tc>
        <w:tc>
          <w:tcPr>
            <w:tcW w:w="858" w:type="dxa"/>
            <w:tcBorders>
              <w:top w:val="nil"/>
              <w:left w:val="nil"/>
              <w:bottom w:val="single" w:color="auto" w:sz="8" w:space="0"/>
              <w:right w:val="single" w:color="auto" w:sz="8" w:space="0"/>
            </w:tcBorders>
            <w:noWrap/>
            <w:vAlign w:val="center"/>
          </w:tcPr>
          <w:p w14:paraId="06F28E31">
            <w:pPr>
              <w:jc w:val="center"/>
              <w:rPr>
                <w:szCs w:val="21"/>
              </w:rPr>
            </w:pPr>
          </w:p>
        </w:tc>
        <w:tc>
          <w:tcPr>
            <w:tcW w:w="1710" w:type="dxa"/>
            <w:tcBorders>
              <w:top w:val="nil"/>
              <w:left w:val="nil"/>
              <w:bottom w:val="single" w:color="auto" w:sz="8" w:space="0"/>
              <w:right w:val="single" w:color="auto" w:sz="8" w:space="0"/>
            </w:tcBorders>
            <w:noWrap/>
            <w:vAlign w:val="center"/>
          </w:tcPr>
          <w:p w14:paraId="4091666B">
            <w:pPr>
              <w:jc w:val="center"/>
              <w:rPr>
                <w:szCs w:val="21"/>
              </w:rPr>
            </w:pPr>
          </w:p>
        </w:tc>
        <w:tc>
          <w:tcPr>
            <w:tcW w:w="2277" w:type="dxa"/>
            <w:tcBorders>
              <w:top w:val="nil"/>
              <w:left w:val="nil"/>
              <w:bottom w:val="single" w:color="auto" w:sz="8" w:space="0"/>
              <w:right w:val="single" w:color="auto" w:sz="8" w:space="0"/>
            </w:tcBorders>
            <w:noWrap/>
            <w:vAlign w:val="center"/>
          </w:tcPr>
          <w:p w14:paraId="7C48812C">
            <w:pPr>
              <w:jc w:val="center"/>
              <w:rPr>
                <w:szCs w:val="21"/>
              </w:rPr>
            </w:pPr>
          </w:p>
        </w:tc>
      </w:tr>
      <w:tr w14:paraId="7CAED72F">
        <w:tblPrEx>
          <w:tblCellMar>
            <w:top w:w="0" w:type="dxa"/>
            <w:left w:w="108" w:type="dxa"/>
            <w:bottom w:w="0" w:type="dxa"/>
            <w:right w:w="108" w:type="dxa"/>
          </w:tblCellMar>
        </w:tblPrEx>
        <w:trPr>
          <w:trHeight w:val="300" w:hRule="atLeast"/>
        </w:trPr>
        <w:tc>
          <w:tcPr>
            <w:tcW w:w="577" w:type="dxa"/>
            <w:tcBorders>
              <w:top w:val="nil"/>
              <w:left w:val="single" w:color="auto" w:sz="8" w:space="0"/>
              <w:bottom w:val="single" w:color="auto" w:sz="8" w:space="0"/>
              <w:right w:val="single" w:color="auto" w:sz="8" w:space="0"/>
            </w:tcBorders>
            <w:noWrap/>
            <w:vAlign w:val="center"/>
          </w:tcPr>
          <w:p w14:paraId="2839B820">
            <w:pPr>
              <w:jc w:val="center"/>
              <w:rPr>
                <w:szCs w:val="21"/>
              </w:rPr>
            </w:pPr>
            <w:r>
              <w:rPr>
                <w:rFonts w:hint="eastAsia"/>
                <w:szCs w:val="21"/>
              </w:rPr>
              <w:t>2</w:t>
            </w:r>
          </w:p>
        </w:tc>
        <w:tc>
          <w:tcPr>
            <w:tcW w:w="2994" w:type="dxa"/>
            <w:gridSpan w:val="2"/>
            <w:tcBorders>
              <w:top w:val="single" w:color="auto" w:sz="8" w:space="0"/>
              <w:left w:val="nil"/>
              <w:bottom w:val="single" w:color="auto" w:sz="8" w:space="0"/>
              <w:right w:val="single" w:color="000000" w:sz="8" w:space="0"/>
            </w:tcBorders>
            <w:noWrap/>
            <w:vAlign w:val="center"/>
          </w:tcPr>
          <w:p w14:paraId="6C0195B3">
            <w:pPr>
              <w:jc w:val="center"/>
              <w:rPr>
                <w:szCs w:val="21"/>
              </w:rPr>
            </w:pPr>
          </w:p>
        </w:tc>
        <w:tc>
          <w:tcPr>
            <w:tcW w:w="1002" w:type="dxa"/>
            <w:tcBorders>
              <w:top w:val="nil"/>
              <w:left w:val="nil"/>
              <w:bottom w:val="single" w:color="auto" w:sz="8" w:space="0"/>
              <w:right w:val="single" w:color="auto" w:sz="8" w:space="0"/>
            </w:tcBorders>
            <w:noWrap/>
            <w:vAlign w:val="center"/>
          </w:tcPr>
          <w:p w14:paraId="4F54F2D7">
            <w:pPr>
              <w:jc w:val="center"/>
              <w:rPr>
                <w:szCs w:val="21"/>
              </w:rPr>
            </w:pPr>
          </w:p>
        </w:tc>
        <w:tc>
          <w:tcPr>
            <w:tcW w:w="436" w:type="dxa"/>
            <w:tcBorders>
              <w:top w:val="nil"/>
              <w:left w:val="nil"/>
              <w:bottom w:val="single" w:color="auto" w:sz="8" w:space="0"/>
              <w:right w:val="single" w:color="auto" w:sz="8" w:space="0"/>
            </w:tcBorders>
            <w:noWrap/>
            <w:vAlign w:val="center"/>
          </w:tcPr>
          <w:p w14:paraId="683AD02E">
            <w:pPr>
              <w:jc w:val="center"/>
              <w:rPr>
                <w:szCs w:val="21"/>
              </w:rPr>
            </w:pPr>
          </w:p>
        </w:tc>
        <w:tc>
          <w:tcPr>
            <w:tcW w:w="858" w:type="dxa"/>
            <w:tcBorders>
              <w:top w:val="nil"/>
              <w:left w:val="nil"/>
              <w:bottom w:val="single" w:color="auto" w:sz="8" w:space="0"/>
              <w:right w:val="single" w:color="auto" w:sz="8" w:space="0"/>
            </w:tcBorders>
            <w:noWrap/>
            <w:vAlign w:val="center"/>
          </w:tcPr>
          <w:p w14:paraId="26EE8396">
            <w:pPr>
              <w:jc w:val="center"/>
              <w:rPr>
                <w:szCs w:val="21"/>
              </w:rPr>
            </w:pPr>
          </w:p>
        </w:tc>
        <w:tc>
          <w:tcPr>
            <w:tcW w:w="1710" w:type="dxa"/>
            <w:tcBorders>
              <w:top w:val="nil"/>
              <w:left w:val="nil"/>
              <w:bottom w:val="single" w:color="auto" w:sz="8" w:space="0"/>
              <w:right w:val="single" w:color="auto" w:sz="8" w:space="0"/>
            </w:tcBorders>
            <w:noWrap/>
            <w:vAlign w:val="center"/>
          </w:tcPr>
          <w:p w14:paraId="0E3B21FC">
            <w:pPr>
              <w:jc w:val="center"/>
              <w:rPr>
                <w:szCs w:val="21"/>
              </w:rPr>
            </w:pPr>
          </w:p>
        </w:tc>
        <w:tc>
          <w:tcPr>
            <w:tcW w:w="2277" w:type="dxa"/>
            <w:tcBorders>
              <w:top w:val="nil"/>
              <w:left w:val="nil"/>
              <w:bottom w:val="single" w:color="auto" w:sz="8" w:space="0"/>
              <w:right w:val="single" w:color="auto" w:sz="8" w:space="0"/>
            </w:tcBorders>
            <w:noWrap/>
            <w:vAlign w:val="center"/>
          </w:tcPr>
          <w:p w14:paraId="564BB21A">
            <w:pPr>
              <w:jc w:val="center"/>
              <w:rPr>
                <w:szCs w:val="21"/>
              </w:rPr>
            </w:pPr>
          </w:p>
        </w:tc>
      </w:tr>
      <w:tr w14:paraId="24384965">
        <w:tblPrEx>
          <w:tblCellMar>
            <w:top w:w="0" w:type="dxa"/>
            <w:left w:w="108" w:type="dxa"/>
            <w:bottom w:w="0" w:type="dxa"/>
            <w:right w:w="108" w:type="dxa"/>
          </w:tblCellMar>
        </w:tblPrEx>
        <w:trPr>
          <w:trHeight w:val="300" w:hRule="atLeast"/>
        </w:trPr>
        <w:tc>
          <w:tcPr>
            <w:tcW w:w="577" w:type="dxa"/>
            <w:tcBorders>
              <w:top w:val="nil"/>
              <w:left w:val="single" w:color="auto" w:sz="8" w:space="0"/>
              <w:bottom w:val="single" w:color="auto" w:sz="8" w:space="0"/>
              <w:right w:val="single" w:color="auto" w:sz="8" w:space="0"/>
            </w:tcBorders>
            <w:noWrap/>
            <w:vAlign w:val="center"/>
          </w:tcPr>
          <w:p w14:paraId="2C08854B">
            <w:pPr>
              <w:jc w:val="center"/>
              <w:rPr>
                <w:szCs w:val="21"/>
              </w:rPr>
            </w:pPr>
            <w:r>
              <w:rPr>
                <w:rFonts w:hint="eastAsia"/>
                <w:szCs w:val="21"/>
              </w:rPr>
              <w:t>3</w:t>
            </w:r>
          </w:p>
        </w:tc>
        <w:tc>
          <w:tcPr>
            <w:tcW w:w="2994" w:type="dxa"/>
            <w:gridSpan w:val="2"/>
            <w:tcBorders>
              <w:top w:val="single" w:color="auto" w:sz="8" w:space="0"/>
              <w:left w:val="nil"/>
              <w:bottom w:val="single" w:color="auto" w:sz="8" w:space="0"/>
              <w:right w:val="single" w:color="000000" w:sz="8" w:space="0"/>
            </w:tcBorders>
            <w:noWrap/>
            <w:vAlign w:val="center"/>
          </w:tcPr>
          <w:p w14:paraId="310CC178">
            <w:pPr>
              <w:jc w:val="center"/>
              <w:rPr>
                <w:szCs w:val="21"/>
              </w:rPr>
            </w:pPr>
          </w:p>
        </w:tc>
        <w:tc>
          <w:tcPr>
            <w:tcW w:w="1002" w:type="dxa"/>
            <w:tcBorders>
              <w:top w:val="nil"/>
              <w:left w:val="nil"/>
              <w:bottom w:val="single" w:color="auto" w:sz="8" w:space="0"/>
              <w:right w:val="single" w:color="auto" w:sz="8" w:space="0"/>
            </w:tcBorders>
            <w:noWrap/>
            <w:vAlign w:val="center"/>
          </w:tcPr>
          <w:p w14:paraId="287E4FA7">
            <w:pPr>
              <w:jc w:val="center"/>
              <w:rPr>
                <w:szCs w:val="21"/>
              </w:rPr>
            </w:pPr>
          </w:p>
        </w:tc>
        <w:tc>
          <w:tcPr>
            <w:tcW w:w="436" w:type="dxa"/>
            <w:tcBorders>
              <w:top w:val="nil"/>
              <w:left w:val="nil"/>
              <w:bottom w:val="single" w:color="auto" w:sz="8" w:space="0"/>
              <w:right w:val="single" w:color="auto" w:sz="8" w:space="0"/>
            </w:tcBorders>
            <w:noWrap/>
            <w:vAlign w:val="center"/>
          </w:tcPr>
          <w:p w14:paraId="20A7E57E">
            <w:pPr>
              <w:jc w:val="center"/>
              <w:rPr>
                <w:szCs w:val="21"/>
              </w:rPr>
            </w:pPr>
          </w:p>
        </w:tc>
        <w:tc>
          <w:tcPr>
            <w:tcW w:w="858" w:type="dxa"/>
            <w:tcBorders>
              <w:top w:val="nil"/>
              <w:left w:val="nil"/>
              <w:bottom w:val="single" w:color="auto" w:sz="8" w:space="0"/>
              <w:right w:val="single" w:color="auto" w:sz="8" w:space="0"/>
            </w:tcBorders>
            <w:noWrap/>
            <w:vAlign w:val="center"/>
          </w:tcPr>
          <w:p w14:paraId="7F974AE9">
            <w:pPr>
              <w:jc w:val="center"/>
              <w:rPr>
                <w:szCs w:val="21"/>
              </w:rPr>
            </w:pPr>
          </w:p>
        </w:tc>
        <w:tc>
          <w:tcPr>
            <w:tcW w:w="1710" w:type="dxa"/>
            <w:tcBorders>
              <w:top w:val="nil"/>
              <w:left w:val="nil"/>
              <w:bottom w:val="single" w:color="auto" w:sz="8" w:space="0"/>
              <w:right w:val="single" w:color="auto" w:sz="8" w:space="0"/>
            </w:tcBorders>
            <w:noWrap/>
            <w:vAlign w:val="center"/>
          </w:tcPr>
          <w:p w14:paraId="4C1AB498">
            <w:pPr>
              <w:jc w:val="center"/>
              <w:rPr>
                <w:szCs w:val="21"/>
              </w:rPr>
            </w:pPr>
          </w:p>
        </w:tc>
        <w:tc>
          <w:tcPr>
            <w:tcW w:w="2277" w:type="dxa"/>
            <w:tcBorders>
              <w:top w:val="nil"/>
              <w:left w:val="nil"/>
              <w:bottom w:val="single" w:color="auto" w:sz="8" w:space="0"/>
              <w:right w:val="single" w:color="auto" w:sz="8" w:space="0"/>
            </w:tcBorders>
            <w:noWrap/>
            <w:vAlign w:val="center"/>
          </w:tcPr>
          <w:p w14:paraId="09F95296">
            <w:pPr>
              <w:jc w:val="center"/>
              <w:rPr>
                <w:szCs w:val="21"/>
              </w:rPr>
            </w:pPr>
          </w:p>
        </w:tc>
      </w:tr>
      <w:tr w14:paraId="7E2CAF79">
        <w:tblPrEx>
          <w:tblCellMar>
            <w:top w:w="0" w:type="dxa"/>
            <w:left w:w="108" w:type="dxa"/>
            <w:bottom w:w="0" w:type="dxa"/>
            <w:right w:w="108" w:type="dxa"/>
          </w:tblCellMar>
        </w:tblPrEx>
        <w:trPr>
          <w:trHeight w:val="300" w:hRule="atLeast"/>
        </w:trPr>
        <w:tc>
          <w:tcPr>
            <w:tcW w:w="577" w:type="dxa"/>
            <w:tcBorders>
              <w:top w:val="nil"/>
              <w:left w:val="single" w:color="auto" w:sz="8" w:space="0"/>
              <w:bottom w:val="single" w:color="auto" w:sz="8" w:space="0"/>
              <w:right w:val="single" w:color="auto" w:sz="8" w:space="0"/>
            </w:tcBorders>
            <w:noWrap/>
            <w:vAlign w:val="center"/>
          </w:tcPr>
          <w:p w14:paraId="5DC044F5">
            <w:pPr>
              <w:jc w:val="center"/>
              <w:rPr>
                <w:szCs w:val="21"/>
              </w:rPr>
            </w:pPr>
            <w:r>
              <w:rPr>
                <w:rFonts w:hint="eastAsia"/>
                <w:szCs w:val="21"/>
              </w:rPr>
              <w:t>4</w:t>
            </w:r>
          </w:p>
        </w:tc>
        <w:tc>
          <w:tcPr>
            <w:tcW w:w="2994" w:type="dxa"/>
            <w:gridSpan w:val="2"/>
            <w:tcBorders>
              <w:top w:val="single" w:color="auto" w:sz="8" w:space="0"/>
              <w:left w:val="nil"/>
              <w:bottom w:val="single" w:color="auto" w:sz="8" w:space="0"/>
              <w:right w:val="single" w:color="000000" w:sz="8" w:space="0"/>
            </w:tcBorders>
            <w:noWrap/>
            <w:vAlign w:val="center"/>
          </w:tcPr>
          <w:p w14:paraId="66494B05">
            <w:pPr>
              <w:jc w:val="center"/>
              <w:rPr>
                <w:szCs w:val="21"/>
              </w:rPr>
            </w:pPr>
          </w:p>
        </w:tc>
        <w:tc>
          <w:tcPr>
            <w:tcW w:w="1002" w:type="dxa"/>
            <w:tcBorders>
              <w:top w:val="nil"/>
              <w:left w:val="nil"/>
              <w:bottom w:val="single" w:color="auto" w:sz="8" w:space="0"/>
              <w:right w:val="single" w:color="auto" w:sz="8" w:space="0"/>
            </w:tcBorders>
            <w:noWrap/>
            <w:vAlign w:val="center"/>
          </w:tcPr>
          <w:p w14:paraId="2D28D676">
            <w:pPr>
              <w:jc w:val="center"/>
              <w:rPr>
                <w:szCs w:val="21"/>
              </w:rPr>
            </w:pPr>
          </w:p>
        </w:tc>
        <w:tc>
          <w:tcPr>
            <w:tcW w:w="436" w:type="dxa"/>
            <w:tcBorders>
              <w:top w:val="nil"/>
              <w:left w:val="nil"/>
              <w:bottom w:val="single" w:color="auto" w:sz="8" w:space="0"/>
              <w:right w:val="single" w:color="auto" w:sz="8" w:space="0"/>
            </w:tcBorders>
            <w:noWrap/>
            <w:vAlign w:val="center"/>
          </w:tcPr>
          <w:p w14:paraId="498F4124">
            <w:pPr>
              <w:jc w:val="center"/>
              <w:rPr>
                <w:szCs w:val="21"/>
              </w:rPr>
            </w:pPr>
          </w:p>
        </w:tc>
        <w:tc>
          <w:tcPr>
            <w:tcW w:w="858" w:type="dxa"/>
            <w:tcBorders>
              <w:top w:val="nil"/>
              <w:left w:val="nil"/>
              <w:bottom w:val="single" w:color="auto" w:sz="8" w:space="0"/>
              <w:right w:val="single" w:color="auto" w:sz="8" w:space="0"/>
            </w:tcBorders>
            <w:noWrap/>
            <w:vAlign w:val="center"/>
          </w:tcPr>
          <w:p w14:paraId="4D9150F4">
            <w:pPr>
              <w:jc w:val="center"/>
              <w:rPr>
                <w:szCs w:val="21"/>
              </w:rPr>
            </w:pPr>
          </w:p>
        </w:tc>
        <w:tc>
          <w:tcPr>
            <w:tcW w:w="1710" w:type="dxa"/>
            <w:tcBorders>
              <w:top w:val="nil"/>
              <w:left w:val="nil"/>
              <w:bottom w:val="single" w:color="auto" w:sz="8" w:space="0"/>
              <w:right w:val="single" w:color="auto" w:sz="8" w:space="0"/>
            </w:tcBorders>
            <w:noWrap/>
            <w:vAlign w:val="center"/>
          </w:tcPr>
          <w:p w14:paraId="15AEA53C">
            <w:pPr>
              <w:jc w:val="center"/>
              <w:rPr>
                <w:szCs w:val="21"/>
              </w:rPr>
            </w:pPr>
          </w:p>
        </w:tc>
        <w:tc>
          <w:tcPr>
            <w:tcW w:w="2277" w:type="dxa"/>
            <w:tcBorders>
              <w:top w:val="nil"/>
              <w:left w:val="nil"/>
              <w:bottom w:val="single" w:color="auto" w:sz="8" w:space="0"/>
              <w:right w:val="single" w:color="auto" w:sz="8" w:space="0"/>
            </w:tcBorders>
            <w:noWrap/>
            <w:vAlign w:val="center"/>
          </w:tcPr>
          <w:p w14:paraId="505252BA">
            <w:pPr>
              <w:jc w:val="center"/>
              <w:rPr>
                <w:szCs w:val="21"/>
              </w:rPr>
            </w:pPr>
          </w:p>
        </w:tc>
      </w:tr>
      <w:tr w14:paraId="6B3700A9">
        <w:tblPrEx>
          <w:tblCellMar>
            <w:top w:w="0" w:type="dxa"/>
            <w:left w:w="108" w:type="dxa"/>
            <w:bottom w:w="0" w:type="dxa"/>
            <w:right w:w="108" w:type="dxa"/>
          </w:tblCellMar>
        </w:tblPrEx>
        <w:trPr>
          <w:trHeight w:val="300" w:hRule="atLeast"/>
        </w:trPr>
        <w:tc>
          <w:tcPr>
            <w:tcW w:w="9854" w:type="dxa"/>
            <w:gridSpan w:val="8"/>
            <w:tcBorders>
              <w:top w:val="single" w:color="auto" w:sz="8" w:space="0"/>
              <w:left w:val="single" w:color="auto" w:sz="8" w:space="0"/>
              <w:bottom w:val="single" w:color="auto" w:sz="8" w:space="0"/>
              <w:right w:val="single" w:color="000000" w:sz="8" w:space="0"/>
            </w:tcBorders>
            <w:noWrap/>
            <w:vAlign w:val="center"/>
          </w:tcPr>
          <w:p w14:paraId="6C941574">
            <w:pPr>
              <w:jc w:val="center"/>
              <w:rPr>
                <w:szCs w:val="21"/>
              </w:rPr>
            </w:pPr>
            <w:r>
              <w:rPr>
                <w:rFonts w:hint="eastAsia"/>
                <w:szCs w:val="21"/>
              </w:rPr>
              <w:t>资质审查情况说明</w:t>
            </w:r>
          </w:p>
        </w:tc>
      </w:tr>
      <w:tr w14:paraId="0FEC354E">
        <w:tblPrEx>
          <w:tblCellMar>
            <w:top w:w="0" w:type="dxa"/>
            <w:left w:w="108" w:type="dxa"/>
            <w:bottom w:w="0" w:type="dxa"/>
            <w:right w:w="108" w:type="dxa"/>
          </w:tblCellMar>
        </w:tblPrEx>
        <w:trPr>
          <w:trHeight w:val="20" w:hRule="exact"/>
        </w:trPr>
        <w:tc>
          <w:tcPr>
            <w:tcW w:w="9854" w:type="dxa"/>
            <w:gridSpan w:val="8"/>
            <w:vMerge w:val="restart"/>
            <w:tcBorders>
              <w:top w:val="single" w:color="auto" w:sz="8" w:space="0"/>
              <w:left w:val="single" w:color="auto" w:sz="8" w:space="0"/>
              <w:bottom w:val="single" w:color="000000" w:sz="8" w:space="0"/>
              <w:right w:val="single" w:color="000000" w:sz="8" w:space="0"/>
            </w:tcBorders>
            <w:noWrap/>
          </w:tcPr>
          <w:p w14:paraId="1617E55E">
            <w:pPr>
              <w:jc w:val="center"/>
              <w:rPr>
                <w:szCs w:val="21"/>
              </w:rPr>
            </w:pPr>
            <w:r>
              <w:rPr>
                <w:rFonts w:hint="eastAsia"/>
                <w:szCs w:val="21"/>
              </w:rPr>
              <w:t>（资质、业绩、技术、能力等方面）</w:t>
            </w:r>
          </w:p>
          <w:p w14:paraId="0DFB91EC">
            <w:pPr>
              <w:tabs>
                <w:tab w:val="left" w:pos="3171"/>
              </w:tabs>
              <w:jc w:val="center"/>
              <w:rPr>
                <w:szCs w:val="21"/>
              </w:rPr>
            </w:pPr>
          </w:p>
        </w:tc>
      </w:tr>
      <w:tr w14:paraId="4A2D1939">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26B4C399">
            <w:pPr>
              <w:jc w:val="center"/>
              <w:rPr>
                <w:szCs w:val="21"/>
              </w:rPr>
            </w:pPr>
          </w:p>
        </w:tc>
      </w:tr>
      <w:tr w14:paraId="5B280DBD">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5A7937B2">
            <w:pPr>
              <w:jc w:val="center"/>
              <w:rPr>
                <w:szCs w:val="21"/>
              </w:rPr>
            </w:pPr>
          </w:p>
        </w:tc>
      </w:tr>
      <w:tr w14:paraId="111CA4DE">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547F0302">
            <w:pPr>
              <w:jc w:val="center"/>
              <w:rPr>
                <w:szCs w:val="21"/>
              </w:rPr>
            </w:pPr>
          </w:p>
        </w:tc>
      </w:tr>
      <w:tr w14:paraId="00797ADC">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48AE77DF">
            <w:pPr>
              <w:jc w:val="center"/>
              <w:rPr>
                <w:szCs w:val="21"/>
              </w:rPr>
            </w:pPr>
          </w:p>
        </w:tc>
      </w:tr>
      <w:tr w14:paraId="3FA5C38C">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2EB65017">
            <w:pPr>
              <w:jc w:val="center"/>
              <w:rPr>
                <w:szCs w:val="21"/>
              </w:rPr>
            </w:pPr>
          </w:p>
        </w:tc>
      </w:tr>
      <w:tr w14:paraId="19C39529">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501549AC">
            <w:pPr>
              <w:jc w:val="center"/>
              <w:rPr>
                <w:szCs w:val="21"/>
              </w:rPr>
            </w:pPr>
          </w:p>
        </w:tc>
      </w:tr>
      <w:tr w14:paraId="52906995">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74736AEF">
            <w:pPr>
              <w:jc w:val="center"/>
              <w:rPr>
                <w:szCs w:val="21"/>
              </w:rPr>
            </w:pPr>
          </w:p>
        </w:tc>
      </w:tr>
      <w:tr w14:paraId="302E3A89">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5287FC00">
            <w:pPr>
              <w:jc w:val="center"/>
              <w:rPr>
                <w:szCs w:val="21"/>
              </w:rPr>
            </w:pPr>
          </w:p>
        </w:tc>
      </w:tr>
      <w:tr w14:paraId="42786F06">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7831E3B8">
            <w:pPr>
              <w:jc w:val="center"/>
              <w:rPr>
                <w:szCs w:val="21"/>
              </w:rPr>
            </w:pPr>
          </w:p>
        </w:tc>
      </w:tr>
      <w:tr w14:paraId="23158C7E">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1B1FB4E1">
            <w:pPr>
              <w:jc w:val="center"/>
              <w:rPr>
                <w:szCs w:val="21"/>
              </w:rPr>
            </w:pPr>
          </w:p>
        </w:tc>
      </w:tr>
      <w:tr w14:paraId="1EA10CEB">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0002992E">
            <w:pPr>
              <w:jc w:val="center"/>
              <w:rPr>
                <w:szCs w:val="21"/>
              </w:rPr>
            </w:pPr>
          </w:p>
        </w:tc>
      </w:tr>
      <w:tr w14:paraId="5DB2E590">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70F7992B">
            <w:pPr>
              <w:jc w:val="center"/>
              <w:rPr>
                <w:szCs w:val="21"/>
              </w:rPr>
            </w:pPr>
          </w:p>
        </w:tc>
      </w:tr>
      <w:tr w14:paraId="682A2416">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1365D719">
            <w:pPr>
              <w:jc w:val="center"/>
              <w:rPr>
                <w:szCs w:val="21"/>
              </w:rPr>
            </w:pPr>
          </w:p>
        </w:tc>
      </w:tr>
      <w:tr w14:paraId="0E63D91D">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5A3B9C29">
            <w:pPr>
              <w:jc w:val="center"/>
              <w:rPr>
                <w:szCs w:val="21"/>
              </w:rPr>
            </w:pPr>
          </w:p>
        </w:tc>
      </w:tr>
      <w:tr w14:paraId="0303E6A9">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58CF5EE3">
            <w:pPr>
              <w:jc w:val="center"/>
              <w:rPr>
                <w:szCs w:val="21"/>
              </w:rPr>
            </w:pPr>
          </w:p>
        </w:tc>
      </w:tr>
      <w:tr w14:paraId="6B147D57">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2BDF5E12">
            <w:pPr>
              <w:jc w:val="center"/>
              <w:rPr>
                <w:szCs w:val="21"/>
              </w:rPr>
            </w:pPr>
          </w:p>
        </w:tc>
      </w:tr>
      <w:tr w14:paraId="1A9FEB97">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53F2DAAA">
            <w:pPr>
              <w:jc w:val="center"/>
              <w:rPr>
                <w:szCs w:val="21"/>
              </w:rPr>
            </w:pPr>
          </w:p>
        </w:tc>
      </w:tr>
      <w:tr w14:paraId="0424E184">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4036429E">
            <w:pPr>
              <w:jc w:val="center"/>
              <w:rPr>
                <w:szCs w:val="21"/>
              </w:rPr>
            </w:pPr>
          </w:p>
        </w:tc>
      </w:tr>
      <w:tr w14:paraId="153EE641">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737F684B">
            <w:pPr>
              <w:jc w:val="center"/>
              <w:rPr>
                <w:szCs w:val="21"/>
              </w:rPr>
            </w:pPr>
          </w:p>
        </w:tc>
      </w:tr>
      <w:tr w14:paraId="7641C553">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32F76EDF">
            <w:pPr>
              <w:jc w:val="center"/>
              <w:rPr>
                <w:szCs w:val="21"/>
              </w:rPr>
            </w:pPr>
          </w:p>
        </w:tc>
      </w:tr>
      <w:tr w14:paraId="7D75BDA2">
        <w:tblPrEx>
          <w:tblCellMar>
            <w:top w:w="0" w:type="dxa"/>
            <w:left w:w="108" w:type="dxa"/>
            <w:bottom w:w="0" w:type="dxa"/>
            <w:right w:w="108" w:type="dxa"/>
          </w:tblCellMar>
        </w:tblPrEx>
        <w:trPr>
          <w:trHeight w:val="312" w:hRule="atLeast"/>
        </w:trPr>
        <w:tc>
          <w:tcPr>
            <w:tcW w:w="9854" w:type="dxa"/>
            <w:gridSpan w:val="8"/>
            <w:vMerge w:val="continue"/>
            <w:tcBorders>
              <w:top w:val="single" w:color="auto" w:sz="8" w:space="0"/>
              <w:left w:val="single" w:color="auto" w:sz="8" w:space="0"/>
              <w:bottom w:val="single" w:color="000000" w:sz="8" w:space="0"/>
              <w:right w:val="single" w:color="000000" w:sz="8" w:space="0"/>
            </w:tcBorders>
            <w:vAlign w:val="center"/>
          </w:tcPr>
          <w:p w14:paraId="0D114CB2">
            <w:pPr>
              <w:jc w:val="center"/>
              <w:rPr>
                <w:szCs w:val="21"/>
              </w:rPr>
            </w:pPr>
          </w:p>
        </w:tc>
      </w:tr>
      <w:tr w14:paraId="35D83AE6">
        <w:tblPrEx>
          <w:tblCellMar>
            <w:top w:w="0" w:type="dxa"/>
            <w:left w:w="108" w:type="dxa"/>
            <w:bottom w:w="0" w:type="dxa"/>
            <w:right w:w="108" w:type="dxa"/>
          </w:tblCellMar>
        </w:tblPrEx>
        <w:trPr>
          <w:trHeight w:val="312" w:hRule="atLeast"/>
        </w:trPr>
        <w:tc>
          <w:tcPr>
            <w:tcW w:w="1861" w:type="dxa"/>
            <w:gridSpan w:val="2"/>
            <w:vMerge w:val="restart"/>
            <w:tcBorders>
              <w:top w:val="single" w:color="000000" w:sz="8" w:space="0"/>
              <w:left w:val="single" w:color="auto" w:sz="8" w:space="0"/>
              <w:bottom w:val="single" w:color="000000" w:sz="8" w:space="0"/>
              <w:right w:val="single" w:color="000000" w:sz="8" w:space="0"/>
            </w:tcBorders>
            <w:noWrap/>
            <w:vAlign w:val="center"/>
          </w:tcPr>
          <w:p w14:paraId="15C33343">
            <w:pPr>
              <w:jc w:val="center"/>
              <w:rPr>
                <w:szCs w:val="21"/>
              </w:rPr>
            </w:pPr>
            <w:r>
              <w:rPr>
                <w:rFonts w:hint="eastAsia"/>
                <w:szCs w:val="21"/>
              </w:rPr>
              <w:t>资格审查人员</w:t>
            </w:r>
          </w:p>
        </w:tc>
        <w:tc>
          <w:tcPr>
            <w:tcW w:w="7993" w:type="dxa"/>
            <w:gridSpan w:val="6"/>
            <w:vMerge w:val="restart"/>
            <w:tcBorders>
              <w:top w:val="single" w:color="000000" w:sz="8" w:space="0"/>
              <w:left w:val="single" w:color="auto" w:sz="8" w:space="0"/>
              <w:bottom w:val="single" w:color="000000" w:sz="8" w:space="0"/>
              <w:right w:val="single" w:color="000000" w:sz="8" w:space="0"/>
            </w:tcBorders>
            <w:noWrap/>
            <w:vAlign w:val="center"/>
          </w:tcPr>
          <w:p w14:paraId="670B51E2">
            <w:pPr>
              <w:jc w:val="center"/>
              <w:rPr>
                <w:szCs w:val="21"/>
              </w:rPr>
            </w:pPr>
          </w:p>
        </w:tc>
      </w:tr>
      <w:tr w14:paraId="75107781">
        <w:tblPrEx>
          <w:tblCellMar>
            <w:top w:w="0" w:type="dxa"/>
            <w:left w:w="108" w:type="dxa"/>
            <w:bottom w:w="0" w:type="dxa"/>
            <w:right w:w="108" w:type="dxa"/>
          </w:tblCellMar>
        </w:tblPrEx>
        <w:trPr>
          <w:trHeight w:val="312" w:hRule="atLeast"/>
        </w:trPr>
        <w:tc>
          <w:tcPr>
            <w:tcW w:w="1861" w:type="dxa"/>
            <w:gridSpan w:val="2"/>
            <w:vMerge w:val="continue"/>
            <w:tcBorders>
              <w:top w:val="single" w:color="000000" w:sz="8" w:space="0"/>
              <w:left w:val="single" w:color="auto" w:sz="8" w:space="0"/>
              <w:bottom w:val="single" w:color="000000" w:sz="8" w:space="0"/>
              <w:right w:val="single" w:color="000000" w:sz="8" w:space="0"/>
            </w:tcBorders>
            <w:vAlign w:val="center"/>
          </w:tcPr>
          <w:p w14:paraId="0F7AC8B1">
            <w:pPr>
              <w:jc w:val="center"/>
              <w:rPr>
                <w:szCs w:val="21"/>
              </w:rPr>
            </w:pPr>
          </w:p>
        </w:tc>
        <w:tc>
          <w:tcPr>
            <w:tcW w:w="7993" w:type="dxa"/>
            <w:gridSpan w:val="6"/>
            <w:vMerge w:val="continue"/>
            <w:tcBorders>
              <w:top w:val="single" w:color="000000" w:sz="8" w:space="0"/>
              <w:left w:val="single" w:color="auto" w:sz="8" w:space="0"/>
              <w:bottom w:val="single" w:color="000000" w:sz="8" w:space="0"/>
              <w:right w:val="single" w:color="000000" w:sz="8" w:space="0"/>
            </w:tcBorders>
            <w:vAlign w:val="center"/>
          </w:tcPr>
          <w:p w14:paraId="083F1DF3">
            <w:pPr>
              <w:jc w:val="center"/>
              <w:rPr>
                <w:szCs w:val="21"/>
              </w:rPr>
            </w:pPr>
          </w:p>
        </w:tc>
      </w:tr>
      <w:tr w14:paraId="3ED557D1">
        <w:tblPrEx>
          <w:tblCellMar>
            <w:top w:w="0" w:type="dxa"/>
            <w:left w:w="108" w:type="dxa"/>
            <w:bottom w:w="0" w:type="dxa"/>
            <w:right w:w="108" w:type="dxa"/>
          </w:tblCellMar>
        </w:tblPrEx>
        <w:trPr>
          <w:trHeight w:val="312" w:hRule="atLeast"/>
        </w:trPr>
        <w:tc>
          <w:tcPr>
            <w:tcW w:w="1861" w:type="dxa"/>
            <w:gridSpan w:val="2"/>
            <w:vMerge w:val="continue"/>
            <w:tcBorders>
              <w:top w:val="single" w:color="000000" w:sz="8" w:space="0"/>
              <w:left w:val="single" w:color="auto" w:sz="8" w:space="0"/>
              <w:bottom w:val="single" w:color="000000" w:sz="8" w:space="0"/>
              <w:right w:val="single" w:color="000000" w:sz="8" w:space="0"/>
            </w:tcBorders>
            <w:vAlign w:val="center"/>
          </w:tcPr>
          <w:p w14:paraId="175C7B88">
            <w:pPr>
              <w:jc w:val="center"/>
              <w:rPr>
                <w:szCs w:val="21"/>
              </w:rPr>
            </w:pPr>
          </w:p>
        </w:tc>
        <w:tc>
          <w:tcPr>
            <w:tcW w:w="7993" w:type="dxa"/>
            <w:gridSpan w:val="6"/>
            <w:vMerge w:val="continue"/>
            <w:tcBorders>
              <w:top w:val="single" w:color="000000" w:sz="8" w:space="0"/>
              <w:left w:val="single" w:color="auto" w:sz="8" w:space="0"/>
              <w:bottom w:val="single" w:color="000000" w:sz="8" w:space="0"/>
              <w:right w:val="single" w:color="000000" w:sz="8" w:space="0"/>
            </w:tcBorders>
            <w:vAlign w:val="center"/>
          </w:tcPr>
          <w:p w14:paraId="14CE06E4">
            <w:pPr>
              <w:jc w:val="center"/>
              <w:rPr>
                <w:szCs w:val="21"/>
              </w:rPr>
            </w:pPr>
          </w:p>
        </w:tc>
      </w:tr>
      <w:tr w14:paraId="79FA91D8">
        <w:tblPrEx>
          <w:tblCellMar>
            <w:top w:w="0" w:type="dxa"/>
            <w:left w:w="108" w:type="dxa"/>
            <w:bottom w:w="0" w:type="dxa"/>
            <w:right w:w="108" w:type="dxa"/>
          </w:tblCellMar>
        </w:tblPrEx>
        <w:trPr>
          <w:trHeight w:val="312" w:hRule="atLeast"/>
        </w:trPr>
        <w:tc>
          <w:tcPr>
            <w:tcW w:w="1861" w:type="dxa"/>
            <w:gridSpan w:val="2"/>
            <w:vMerge w:val="continue"/>
            <w:tcBorders>
              <w:top w:val="single" w:color="000000" w:sz="8" w:space="0"/>
              <w:left w:val="single" w:color="auto" w:sz="8" w:space="0"/>
              <w:bottom w:val="single" w:color="000000" w:sz="8" w:space="0"/>
              <w:right w:val="single" w:color="000000" w:sz="8" w:space="0"/>
            </w:tcBorders>
            <w:vAlign w:val="center"/>
          </w:tcPr>
          <w:p w14:paraId="17C978E2">
            <w:pPr>
              <w:jc w:val="center"/>
              <w:rPr>
                <w:szCs w:val="21"/>
              </w:rPr>
            </w:pPr>
          </w:p>
        </w:tc>
        <w:tc>
          <w:tcPr>
            <w:tcW w:w="7993" w:type="dxa"/>
            <w:gridSpan w:val="6"/>
            <w:vMerge w:val="continue"/>
            <w:tcBorders>
              <w:top w:val="single" w:color="000000" w:sz="8" w:space="0"/>
              <w:left w:val="single" w:color="auto" w:sz="8" w:space="0"/>
              <w:bottom w:val="single" w:color="000000" w:sz="8" w:space="0"/>
              <w:right w:val="single" w:color="000000" w:sz="8" w:space="0"/>
            </w:tcBorders>
            <w:vAlign w:val="center"/>
          </w:tcPr>
          <w:p w14:paraId="3214F987">
            <w:pPr>
              <w:jc w:val="center"/>
              <w:rPr>
                <w:szCs w:val="21"/>
              </w:rPr>
            </w:pPr>
          </w:p>
        </w:tc>
      </w:tr>
      <w:tr w14:paraId="689D4E51">
        <w:tblPrEx>
          <w:tblCellMar>
            <w:top w:w="0" w:type="dxa"/>
            <w:left w:w="108" w:type="dxa"/>
            <w:bottom w:w="0" w:type="dxa"/>
            <w:right w:w="108" w:type="dxa"/>
          </w:tblCellMar>
        </w:tblPrEx>
        <w:trPr>
          <w:trHeight w:val="312" w:hRule="atLeast"/>
        </w:trPr>
        <w:tc>
          <w:tcPr>
            <w:tcW w:w="1861" w:type="dxa"/>
            <w:gridSpan w:val="2"/>
            <w:vMerge w:val="continue"/>
            <w:tcBorders>
              <w:top w:val="single" w:color="000000" w:sz="8" w:space="0"/>
              <w:left w:val="single" w:color="auto" w:sz="8" w:space="0"/>
              <w:bottom w:val="single" w:color="auto" w:sz="4" w:space="0"/>
              <w:right w:val="single" w:color="000000" w:sz="8" w:space="0"/>
            </w:tcBorders>
            <w:vAlign w:val="center"/>
          </w:tcPr>
          <w:p w14:paraId="2B8AA5DF">
            <w:pPr>
              <w:jc w:val="center"/>
              <w:rPr>
                <w:szCs w:val="21"/>
              </w:rPr>
            </w:pPr>
          </w:p>
        </w:tc>
        <w:tc>
          <w:tcPr>
            <w:tcW w:w="7993" w:type="dxa"/>
            <w:gridSpan w:val="6"/>
            <w:vMerge w:val="continue"/>
            <w:tcBorders>
              <w:top w:val="single" w:color="000000" w:sz="8" w:space="0"/>
              <w:left w:val="single" w:color="auto" w:sz="8" w:space="0"/>
              <w:bottom w:val="single" w:color="auto" w:sz="4" w:space="0"/>
              <w:right w:val="single" w:color="000000" w:sz="8" w:space="0"/>
            </w:tcBorders>
            <w:vAlign w:val="center"/>
          </w:tcPr>
          <w:p w14:paraId="3588E8CC">
            <w:pPr>
              <w:jc w:val="center"/>
              <w:rPr>
                <w:szCs w:val="21"/>
              </w:rPr>
            </w:pPr>
          </w:p>
        </w:tc>
      </w:tr>
      <w:tr w14:paraId="0F15CB88">
        <w:tblPrEx>
          <w:tblCellMar>
            <w:top w:w="0" w:type="dxa"/>
            <w:left w:w="108" w:type="dxa"/>
            <w:bottom w:w="0" w:type="dxa"/>
            <w:right w:w="108" w:type="dxa"/>
          </w:tblCellMar>
        </w:tblPrEx>
        <w:trPr>
          <w:trHeight w:val="558" w:hRule="atLeast"/>
        </w:trPr>
        <w:tc>
          <w:tcPr>
            <w:tcW w:w="1861" w:type="dxa"/>
            <w:gridSpan w:val="2"/>
            <w:tcBorders>
              <w:top w:val="single" w:color="auto" w:sz="4" w:space="0"/>
              <w:left w:val="single" w:color="auto" w:sz="4" w:space="0"/>
              <w:bottom w:val="single" w:color="auto" w:sz="4" w:space="0"/>
              <w:right w:val="single" w:color="auto" w:sz="4" w:space="0"/>
            </w:tcBorders>
            <w:vAlign w:val="center"/>
          </w:tcPr>
          <w:p w14:paraId="68CCE7FE">
            <w:pPr>
              <w:jc w:val="center"/>
              <w:rPr>
                <w:szCs w:val="21"/>
              </w:rPr>
            </w:pPr>
            <w:r>
              <w:rPr>
                <w:rFonts w:hint="eastAsia"/>
                <w:sz w:val="22"/>
              </w:rPr>
              <w:t>工作人员</w:t>
            </w:r>
          </w:p>
        </w:tc>
        <w:tc>
          <w:tcPr>
            <w:tcW w:w="7993" w:type="dxa"/>
            <w:gridSpan w:val="6"/>
            <w:tcBorders>
              <w:top w:val="single" w:color="auto" w:sz="4" w:space="0"/>
              <w:left w:val="single" w:color="auto" w:sz="4" w:space="0"/>
              <w:bottom w:val="single" w:color="auto" w:sz="4" w:space="0"/>
              <w:right w:val="single" w:color="auto" w:sz="4" w:space="0"/>
            </w:tcBorders>
            <w:vAlign w:val="center"/>
          </w:tcPr>
          <w:p w14:paraId="3E198072">
            <w:pPr>
              <w:jc w:val="center"/>
              <w:rPr>
                <w:szCs w:val="21"/>
              </w:rPr>
            </w:pPr>
          </w:p>
        </w:tc>
      </w:tr>
    </w:tbl>
    <w:p w14:paraId="628DAA01">
      <w:pPr>
        <w:jc w:val="center"/>
        <w:rPr>
          <w:b/>
          <w:sz w:val="30"/>
          <w:szCs w:val="30"/>
        </w:rPr>
      </w:pPr>
      <w:bookmarkStart w:id="222" w:name="_Toc446434343"/>
      <w:bookmarkStart w:id="223" w:name="_Toc417245049"/>
      <w:bookmarkStart w:id="224" w:name="_Toc312072286"/>
    </w:p>
    <w:p w14:paraId="73162C97">
      <w:pPr>
        <w:jc w:val="center"/>
        <w:rPr>
          <w:b/>
          <w:sz w:val="30"/>
          <w:szCs w:val="30"/>
          <w:highlight w:val="yellow"/>
        </w:rPr>
      </w:pPr>
      <w:r>
        <w:rPr>
          <w:rFonts w:hint="eastAsia"/>
          <w:b/>
          <w:sz w:val="30"/>
          <w:szCs w:val="30"/>
          <w:highlight w:val="yellow"/>
        </w:rPr>
        <w:t>打分表</w:t>
      </w:r>
    </w:p>
    <w:tbl>
      <w:tblPr>
        <w:tblStyle w:val="17"/>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3"/>
        <w:gridCol w:w="1134"/>
        <w:gridCol w:w="6502"/>
      </w:tblGrid>
      <w:tr w14:paraId="54C2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2253" w:type="dxa"/>
            <w:tcBorders>
              <w:top w:val="single" w:color="auto" w:sz="4" w:space="0"/>
              <w:left w:val="single" w:color="auto" w:sz="4" w:space="0"/>
              <w:bottom w:val="single" w:color="auto" w:sz="4" w:space="0"/>
              <w:right w:val="single" w:color="auto" w:sz="4" w:space="0"/>
            </w:tcBorders>
            <w:noWrap/>
            <w:vAlign w:val="center"/>
          </w:tcPr>
          <w:p w14:paraId="369EA2B4">
            <w:pPr>
              <w:pStyle w:val="42"/>
              <w:tabs>
                <w:tab w:val="left" w:pos="2342"/>
              </w:tabs>
              <w:jc w:val="both"/>
              <w:rPr>
                <w:rFonts w:ascii="Times New Roman" w:hAnsi="Times New Roman"/>
                <w:b/>
                <w:bCs/>
                <w:sz w:val="21"/>
                <w:szCs w:val="21"/>
                <w:highlight w:val="yellow"/>
              </w:rPr>
            </w:pPr>
            <w:r>
              <w:rPr>
                <w:sz w:val="21"/>
                <w:szCs w:val="21"/>
                <w:highlight w:val="yellow"/>
              </w:rPr>
              <w:tab/>
            </w:r>
            <w:r>
              <w:rPr>
                <w:rFonts w:ascii="Times New Roman" w:hAnsi="Times New Roman"/>
                <w:sz w:val="21"/>
                <w:szCs w:val="21"/>
                <w:highlight w:val="yellow"/>
              </w:rPr>
              <w:t>项目</w:t>
            </w:r>
          </w:p>
        </w:tc>
        <w:tc>
          <w:tcPr>
            <w:tcW w:w="1134" w:type="dxa"/>
            <w:tcBorders>
              <w:top w:val="single" w:color="auto" w:sz="4" w:space="0"/>
              <w:left w:val="single" w:color="auto" w:sz="4" w:space="0"/>
              <w:bottom w:val="single" w:color="auto" w:sz="4" w:space="0"/>
              <w:right w:val="single" w:color="auto" w:sz="4" w:space="0"/>
            </w:tcBorders>
            <w:noWrap/>
            <w:vAlign w:val="center"/>
          </w:tcPr>
          <w:p w14:paraId="5310FB16">
            <w:pPr>
              <w:pStyle w:val="46"/>
              <w:spacing w:line="300" w:lineRule="auto"/>
              <w:ind w:firstLine="105" w:firstLineChars="50"/>
              <w:jc w:val="center"/>
              <w:rPr>
                <w:rFonts w:ascii="Times New Roman" w:hAnsi="Times New Roman"/>
                <w:color w:val="auto"/>
                <w:kern w:val="0"/>
                <w:highlight w:val="yellow"/>
              </w:rPr>
            </w:pPr>
            <w:r>
              <w:rPr>
                <w:rFonts w:ascii="Times New Roman" w:hAnsi="Times New Roman"/>
                <w:color w:val="auto"/>
                <w:kern w:val="0"/>
                <w:highlight w:val="yellow"/>
              </w:rPr>
              <w:t>分值</w:t>
            </w:r>
          </w:p>
        </w:tc>
        <w:tc>
          <w:tcPr>
            <w:tcW w:w="6502" w:type="dxa"/>
            <w:tcBorders>
              <w:top w:val="single" w:color="auto" w:sz="4" w:space="0"/>
              <w:left w:val="single" w:color="auto" w:sz="4" w:space="0"/>
              <w:bottom w:val="single" w:color="auto" w:sz="4" w:space="0"/>
              <w:right w:val="single" w:color="auto" w:sz="4" w:space="0"/>
            </w:tcBorders>
            <w:noWrap/>
            <w:vAlign w:val="center"/>
          </w:tcPr>
          <w:p w14:paraId="655C4273">
            <w:pPr>
              <w:pStyle w:val="46"/>
              <w:spacing w:line="300" w:lineRule="auto"/>
              <w:ind w:firstLine="1890" w:firstLineChars="900"/>
              <w:rPr>
                <w:rFonts w:ascii="Times New Roman" w:hAnsi="Times New Roman"/>
                <w:color w:val="auto"/>
                <w:kern w:val="0"/>
                <w:highlight w:val="yellow"/>
              </w:rPr>
            </w:pPr>
            <w:r>
              <w:rPr>
                <w:rFonts w:ascii="Times New Roman" w:hAnsi="Times New Roman"/>
                <w:color w:val="auto"/>
                <w:kern w:val="0"/>
                <w:highlight w:val="yellow"/>
              </w:rPr>
              <w:t>评分标准</w:t>
            </w:r>
          </w:p>
        </w:tc>
      </w:tr>
      <w:tr w14:paraId="6975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2253" w:type="dxa"/>
            <w:tcBorders>
              <w:top w:val="single" w:color="auto" w:sz="4" w:space="0"/>
              <w:left w:val="single" w:color="auto" w:sz="4" w:space="0"/>
              <w:bottom w:val="single" w:color="auto" w:sz="4" w:space="0"/>
              <w:right w:val="single" w:color="auto" w:sz="4" w:space="0"/>
            </w:tcBorders>
            <w:noWrap/>
            <w:vAlign w:val="center"/>
          </w:tcPr>
          <w:p w14:paraId="71CC7B5F">
            <w:pPr>
              <w:pStyle w:val="47"/>
              <w:spacing w:line="300" w:lineRule="auto"/>
              <w:jc w:val="center"/>
              <w:rPr>
                <w:rFonts w:asciiTheme="minorEastAsia" w:hAnsiTheme="minorEastAsia" w:eastAsiaTheme="minorEastAsia"/>
                <w:color w:val="auto"/>
                <w:sz w:val="21"/>
                <w:szCs w:val="21"/>
                <w:highlight w:val="yellow"/>
              </w:rPr>
            </w:pPr>
            <w:r>
              <w:rPr>
                <w:rFonts w:hint="eastAsia" w:cs="宋体" w:asciiTheme="minorEastAsia" w:hAnsiTheme="minorEastAsia" w:eastAsiaTheme="minorEastAsia"/>
                <w:color w:val="auto"/>
                <w:sz w:val="21"/>
                <w:szCs w:val="21"/>
                <w:highlight w:val="yellow"/>
              </w:rPr>
              <w:t>业绩</w:t>
            </w:r>
          </w:p>
        </w:tc>
        <w:tc>
          <w:tcPr>
            <w:tcW w:w="1134" w:type="dxa"/>
            <w:tcBorders>
              <w:top w:val="single" w:color="auto" w:sz="4" w:space="0"/>
              <w:left w:val="single" w:color="auto" w:sz="4" w:space="0"/>
              <w:bottom w:val="single" w:color="auto" w:sz="4" w:space="0"/>
              <w:right w:val="single" w:color="auto" w:sz="4" w:space="0"/>
            </w:tcBorders>
            <w:noWrap/>
            <w:vAlign w:val="center"/>
          </w:tcPr>
          <w:p w14:paraId="20C2BEB0">
            <w:pPr>
              <w:pStyle w:val="47"/>
              <w:spacing w:line="300" w:lineRule="auto"/>
              <w:jc w:val="center"/>
              <w:rPr>
                <w:bCs/>
                <w:color w:val="auto"/>
                <w:sz w:val="21"/>
                <w:szCs w:val="21"/>
                <w:highlight w:val="yellow"/>
              </w:rPr>
            </w:pPr>
            <w:r>
              <w:rPr>
                <w:rFonts w:hint="eastAsia" w:eastAsia="宋体"/>
                <w:bCs/>
                <w:color w:val="auto"/>
                <w:sz w:val="21"/>
                <w:szCs w:val="21"/>
                <w:highlight w:val="yellow"/>
                <w:lang w:eastAsia="zh-CN"/>
              </w:rPr>
              <w:t>5</w:t>
            </w:r>
            <w:r>
              <w:rPr>
                <w:bCs/>
                <w:color w:val="auto"/>
                <w:sz w:val="21"/>
                <w:szCs w:val="21"/>
                <w:highlight w:val="yellow"/>
              </w:rPr>
              <w:t>分</w:t>
            </w:r>
          </w:p>
        </w:tc>
        <w:tc>
          <w:tcPr>
            <w:tcW w:w="6502" w:type="dxa"/>
            <w:tcBorders>
              <w:top w:val="single" w:color="auto" w:sz="4" w:space="0"/>
              <w:left w:val="single" w:color="auto" w:sz="4" w:space="0"/>
              <w:bottom w:val="single" w:color="auto" w:sz="4" w:space="0"/>
              <w:right w:val="single" w:color="auto" w:sz="4" w:space="0"/>
            </w:tcBorders>
            <w:noWrap/>
            <w:vAlign w:val="center"/>
          </w:tcPr>
          <w:p w14:paraId="74415983">
            <w:pPr>
              <w:pStyle w:val="47"/>
              <w:rPr>
                <w:color w:val="auto"/>
                <w:sz w:val="21"/>
                <w:szCs w:val="21"/>
                <w:highlight w:val="yellow"/>
                <w:lang w:eastAsia="zh-CN"/>
              </w:rPr>
            </w:pPr>
            <w:r>
              <w:rPr>
                <w:color w:val="auto"/>
                <w:sz w:val="21"/>
                <w:szCs w:val="21"/>
                <w:highlight w:val="yellow"/>
                <w:lang w:eastAsia="zh-CN"/>
              </w:rPr>
              <w:t>近三年（</w:t>
            </w:r>
            <w:r>
              <w:rPr>
                <w:rFonts w:hint="eastAsia"/>
                <w:color w:val="auto"/>
                <w:sz w:val="21"/>
                <w:szCs w:val="21"/>
                <w:highlight w:val="yellow"/>
                <w:lang w:eastAsia="zh-CN"/>
              </w:rPr>
              <w:t>202</w:t>
            </w:r>
            <w:r>
              <w:rPr>
                <w:rFonts w:hint="eastAsia" w:eastAsia="宋体"/>
                <w:color w:val="auto"/>
                <w:sz w:val="21"/>
                <w:szCs w:val="21"/>
                <w:highlight w:val="yellow"/>
                <w:lang w:val="en-US" w:eastAsia="zh-CN"/>
              </w:rPr>
              <w:t>3</w:t>
            </w:r>
            <w:r>
              <w:rPr>
                <w:color w:val="auto"/>
                <w:sz w:val="21"/>
                <w:szCs w:val="21"/>
                <w:highlight w:val="yellow"/>
                <w:lang w:eastAsia="zh-CN"/>
              </w:rPr>
              <w:t>年1月1日至开标日期）承担过</w:t>
            </w:r>
            <w:r>
              <w:rPr>
                <w:rFonts w:hint="eastAsia"/>
                <w:color w:val="auto"/>
                <w:sz w:val="21"/>
                <w:szCs w:val="21"/>
                <w:highlight w:val="yellow"/>
                <w:lang w:val="en-US" w:eastAsia="zh-CN"/>
              </w:rPr>
              <w:t>安全诊断和现状评价服务业绩的，得5分，</w:t>
            </w:r>
            <w:r>
              <w:rPr>
                <w:color w:val="auto"/>
                <w:sz w:val="21"/>
                <w:szCs w:val="21"/>
                <w:highlight w:val="yellow"/>
                <w:lang w:eastAsia="zh-CN"/>
              </w:rPr>
              <w:t>每</w:t>
            </w:r>
            <w:r>
              <w:rPr>
                <w:rFonts w:hint="eastAsia"/>
                <w:color w:val="auto"/>
                <w:sz w:val="21"/>
                <w:szCs w:val="21"/>
                <w:highlight w:val="yellow"/>
                <w:lang w:val="en-US" w:eastAsia="zh-CN"/>
              </w:rPr>
              <w:t>缺少1</w:t>
            </w:r>
            <w:r>
              <w:rPr>
                <w:color w:val="auto"/>
                <w:sz w:val="21"/>
                <w:szCs w:val="21"/>
                <w:highlight w:val="yellow"/>
                <w:lang w:eastAsia="zh-CN"/>
              </w:rPr>
              <w:t>项</w:t>
            </w:r>
            <w:r>
              <w:rPr>
                <w:rFonts w:hint="eastAsia"/>
                <w:color w:val="auto"/>
                <w:sz w:val="21"/>
                <w:szCs w:val="21"/>
                <w:highlight w:val="yellow"/>
                <w:lang w:val="en-US" w:eastAsia="zh-CN"/>
              </w:rPr>
              <w:t>扣</w:t>
            </w:r>
            <w:r>
              <w:rPr>
                <w:color w:val="auto"/>
                <w:sz w:val="21"/>
                <w:szCs w:val="21"/>
                <w:highlight w:val="yellow"/>
                <w:lang w:eastAsia="zh-CN"/>
              </w:rPr>
              <w:t>1分。（须提供合同原件及</w:t>
            </w:r>
            <w:r>
              <w:rPr>
                <w:rFonts w:hint="eastAsia"/>
                <w:color w:val="auto"/>
                <w:sz w:val="21"/>
                <w:szCs w:val="21"/>
                <w:highlight w:val="yellow"/>
                <w:lang w:eastAsia="zh-CN"/>
              </w:rPr>
              <w:t>成交</w:t>
            </w:r>
            <w:r>
              <w:rPr>
                <w:color w:val="auto"/>
                <w:sz w:val="21"/>
                <w:szCs w:val="21"/>
                <w:highlight w:val="yellow"/>
                <w:lang w:eastAsia="zh-CN"/>
              </w:rPr>
              <w:t>通知书原件，时间以合同签订时间为准，否则不得分）</w:t>
            </w:r>
          </w:p>
        </w:tc>
      </w:tr>
      <w:tr w14:paraId="2264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2253" w:type="dxa"/>
            <w:tcBorders>
              <w:top w:val="single" w:color="auto" w:sz="4" w:space="0"/>
              <w:left w:val="single" w:color="auto" w:sz="4" w:space="0"/>
              <w:bottom w:val="single" w:color="auto" w:sz="4" w:space="0"/>
              <w:right w:val="single" w:color="auto" w:sz="4" w:space="0"/>
            </w:tcBorders>
            <w:noWrap/>
            <w:vAlign w:val="center"/>
          </w:tcPr>
          <w:p w14:paraId="3453001A">
            <w:pPr>
              <w:pStyle w:val="47"/>
              <w:spacing w:line="300" w:lineRule="auto"/>
              <w:jc w:val="center"/>
              <w:rPr>
                <w:rFonts w:asciiTheme="minorEastAsia" w:hAnsiTheme="minorEastAsia" w:eastAsiaTheme="minorEastAsia"/>
                <w:color w:val="auto"/>
                <w:sz w:val="21"/>
                <w:szCs w:val="21"/>
                <w:highlight w:val="yellow"/>
              </w:rPr>
            </w:pPr>
            <w:r>
              <w:rPr>
                <w:rFonts w:asciiTheme="minorEastAsia" w:hAnsiTheme="minorEastAsia" w:eastAsiaTheme="minorEastAsia"/>
                <w:color w:val="auto"/>
                <w:sz w:val="21"/>
                <w:szCs w:val="21"/>
                <w:highlight w:val="yellow"/>
              </w:rPr>
              <w:t>技术力量</w:t>
            </w:r>
          </w:p>
        </w:tc>
        <w:tc>
          <w:tcPr>
            <w:tcW w:w="1134" w:type="dxa"/>
            <w:tcBorders>
              <w:top w:val="single" w:color="auto" w:sz="4" w:space="0"/>
              <w:left w:val="single" w:color="auto" w:sz="4" w:space="0"/>
              <w:bottom w:val="single" w:color="auto" w:sz="4" w:space="0"/>
              <w:right w:val="single" w:color="auto" w:sz="4" w:space="0"/>
            </w:tcBorders>
            <w:noWrap/>
            <w:vAlign w:val="center"/>
          </w:tcPr>
          <w:p w14:paraId="3B8F8290">
            <w:pPr>
              <w:pStyle w:val="47"/>
              <w:spacing w:line="300" w:lineRule="auto"/>
              <w:jc w:val="center"/>
              <w:rPr>
                <w:rFonts w:eastAsia="宋体"/>
                <w:bCs/>
                <w:color w:val="auto"/>
                <w:sz w:val="21"/>
                <w:szCs w:val="21"/>
                <w:highlight w:val="yellow"/>
                <w:lang w:eastAsia="zh-CN"/>
              </w:rPr>
            </w:pPr>
            <w:r>
              <w:rPr>
                <w:rFonts w:hint="eastAsia" w:eastAsia="宋体"/>
                <w:bCs/>
                <w:color w:val="auto"/>
                <w:sz w:val="21"/>
                <w:szCs w:val="21"/>
                <w:highlight w:val="yellow"/>
                <w:lang w:val="en-US" w:eastAsia="zh-CN"/>
              </w:rPr>
              <w:t>10</w:t>
            </w:r>
            <w:r>
              <w:rPr>
                <w:rFonts w:hint="eastAsia" w:eastAsia="宋体"/>
                <w:bCs/>
                <w:color w:val="auto"/>
                <w:sz w:val="21"/>
                <w:szCs w:val="21"/>
                <w:highlight w:val="yellow"/>
                <w:lang w:eastAsia="zh-CN"/>
              </w:rPr>
              <w:t>分</w:t>
            </w:r>
          </w:p>
        </w:tc>
        <w:tc>
          <w:tcPr>
            <w:tcW w:w="6502" w:type="dxa"/>
            <w:tcBorders>
              <w:top w:val="single" w:color="auto" w:sz="4" w:space="0"/>
              <w:left w:val="single" w:color="auto" w:sz="4" w:space="0"/>
              <w:bottom w:val="single" w:color="auto" w:sz="4" w:space="0"/>
              <w:right w:val="single" w:color="auto" w:sz="4" w:space="0"/>
            </w:tcBorders>
            <w:noWrap/>
            <w:vAlign w:val="center"/>
          </w:tcPr>
          <w:p w14:paraId="5749B5A5">
            <w:pPr>
              <w:pStyle w:val="47"/>
              <w:rPr>
                <w:rFonts w:eastAsia="宋体"/>
                <w:color w:val="auto"/>
                <w:sz w:val="21"/>
                <w:szCs w:val="21"/>
                <w:highlight w:val="yellow"/>
                <w:lang w:eastAsia="zh-CN"/>
              </w:rPr>
            </w:pPr>
            <w:r>
              <w:rPr>
                <w:rFonts w:hint="eastAsia" w:eastAsia="宋体"/>
                <w:color w:val="auto"/>
                <w:sz w:val="21"/>
                <w:szCs w:val="21"/>
                <w:highlight w:val="yellow"/>
                <w:lang w:eastAsia="zh-CN"/>
              </w:rPr>
              <w:t>1.企业配备专业技术人员（安全、采矿、地质、电气、机械专职安全评价师），并提供近6个月的社保证明；</w:t>
            </w:r>
          </w:p>
          <w:p w14:paraId="32998B1A">
            <w:pPr>
              <w:pStyle w:val="47"/>
              <w:rPr>
                <w:rFonts w:eastAsia="宋体"/>
                <w:color w:val="auto"/>
                <w:sz w:val="21"/>
                <w:szCs w:val="21"/>
                <w:highlight w:val="yellow"/>
                <w:lang w:eastAsia="zh-CN"/>
              </w:rPr>
            </w:pPr>
            <w:r>
              <w:rPr>
                <w:rFonts w:hint="eastAsia" w:eastAsia="宋体"/>
                <w:color w:val="auto"/>
                <w:sz w:val="21"/>
                <w:szCs w:val="21"/>
                <w:highlight w:val="yellow"/>
                <w:lang w:eastAsia="zh-CN"/>
              </w:rPr>
              <w:t>2.按专业及人员资质，</w:t>
            </w:r>
            <w:r>
              <w:rPr>
                <w:rFonts w:hint="eastAsia" w:eastAsia="宋体"/>
                <w:color w:val="auto"/>
                <w:sz w:val="21"/>
                <w:szCs w:val="21"/>
                <w:highlight w:val="yellow"/>
                <w:lang w:val="en-US" w:eastAsia="zh-CN"/>
              </w:rPr>
              <w:t>负责我方安全诊断及评价服务专业技术人员中矿山、电气等相关</w:t>
            </w:r>
            <w:r>
              <w:rPr>
                <w:rFonts w:hint="eastAsia" w:eastAsia="宋体"/>
                <w:color w:val="auto"/>
                <w:sz w:val="21"/>
                <w:szCs w:val="21"/>
                <w:highlight w:val="yellow"/>
                <w:lang w:eastAsia="zh-CN"/>
              </w:rPr>
              <w:t>专业高级职称人员</w:t>
            </w:r>
            <w:r>
              <w:rPr>
                <w:rFonts w:hint="eastAsia" w:eastAsia="宋体"/>
                <w:color w:val="auto"/>
                <w:sz w:val="21"/>
                <w:szCs w:val="21"/>
                <w:highlight w:val="yellow"/>
                <w:lang w:val="en-US" w:eastAsia="zh-CN"/>
              </w:rPr>
              <w:t>得6</w:t>
            </w:r>
            <w:r>
              <w:rPr>
                <w:rFonts w:hint="eastAsia" w:eastAsia="宋体"/>
                <w:color w:val="auto"/>
                <w:sz w:val="21"/>
                <w:szCs w:val="21"/>
                <w:highlight w:val="yellow"/>
                <w:lang w:eastAsia="zh-CN"/>
              </w:rPr>
              <w:t>分，中级及以上注册安全工程师</w:t>
            </w:r>
            <w:r>
              <w:rPr>
                <w:rFonts w:hint="eastAsia" w:eastAsia="宋体"/>
                <w:color w:val="auto"/>
                <w:sz w:val="21"/>
                <w:szCs w:val="21"/>
                <w:highlight w:val="yellow"/>
                <w:lang w:val="en-US" w:eastAsia="zh-CN"/>
              </w:rPr>
              <w:t>或安全评价师职业资格得</w:t>
            </w:r>
            <w:r>
              <w:rPr>
                <w:rFonts w:hint="eastAsia" w:eastAsia="宋体"/>
                <w:color w:val="auto"/>
                <w:sz w:val="21"/>
                <w:szCs w:val="21"/>
                <w:highlight w:val="yellow"/>
                <w:lang w:eastAsia="zh-CN"/>
              </w:rPr>
              <w:t>4分</w:t>
            </w:r>
          </w:p>
        </w:tc>
      </w:tr>
      <w:tr w14:paraId="1307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2253" w:type="dxa"/>
            <w:tcBorders>
              <w:top w:val="single" w:color="auto" w:sz="4" w:space="0"/>
              <w:left w:val="single" w:color="auto" w:sz="4" w:space="0"/>
              <w:bottom w:val="single" w:color="auto" w:sz="4" w:space="0"/>
              <w:right w:val="single" w:color="auto" w:sz="4" w:space="0"/>
            </w:tcBorders>
            <w:noWrap/>
            <w:vAlign w:val="center"/>
          </w:tcPr>
          <w:p w14:paraId="645E1398">
            <w:pPr>
              <w:pStyle w:val="47"/>
              <w:spacing w:line="300" w:lineRule="auto"/>
              <w:jc w:val="center"/>
              <w:rPr>
                <w:rFonts w:asciiTheme="minorEastAsia" w:hAnsiTheme="minorEastAsia" w:eastAsiaTheme="minorEastAsia"/>
                <w:color w:val="auto"/>
                <w:sz w:val="21"/>
                <w:szCs w:val="21"/>
                <w:highlight w:val="yellow"/>
                <w:lang w:eastAsia="zh-CN"/>
              </w:rPr>
            </w:pPr>
            <w:r>
              <w:rPr>
                <w:rFonts w:hint="eastAsia" w:asciiTheme="minorEastAsia" w:hAnsiTheme="minorEastAsia" w:eastAsiaTheme="minorEastAsia"/>
                <w:color w:val="auto"/>
                <w:sz w:val="21"/>
                <w:szCs w:val="21"/>
                <w:highlight w:val="yellow"/>
                <w:lang w:eastAsia="zh-CN"/>
              </w:rPr>
              <w:t>服务方案</w:t>
            </w:r>
          </w:p>
        </w:tc>
        <w:tc>
          <w:tcPr>
            <w:tcW w:w="1134" w:type="dxa"/>
            <w:tcBorders>
              <w:top w:val="single" w:color="auto" w:sz="4" w:space="0"/>
              <w:left w:val="single" w:color="auto" w:sz="4" w:space="0"/>
              <w:bottom w:val="single" w:color="auto" w:sz="4" w:space="0"/>
              <w:right w:val="single" w:color="auto" w:sz="4" w:space="0"/>
            </w:tcBorders>
            <w:noWrap/>
            <w:vAlign w:val="center"/>
          </w:tcPr>
          <w:p w14:paraId="29E37135">
            <w:pPr>
              <w:pStyle w:val="47"/>
              <w:spacing w:line="300" w:lineRule="auto"/>
              <w:jc w:val="center"/>
              <w:rPr>
                <w:rFonts w:eastAsia="宋体"/>
                <w:bCs/>
                <w:color w:val="auto"/>
                <w:sz w:val="21"/>
                <w:szCs w:val="21"/>
                <w:highlight w:val="yellow"/>
                <w:lang w:eastAsia="zh-CN"/>
              </w:rPr>
            </w:pPr>
            <w:r>
              <w:rPr>
                <w:rFonts w:hint="eastAsia" w:eastAsia="宋体"/>
                <w:bCs/>
                <w:color w:val="auto"/>
                <w:sz w:val="21"/>
                <w:szCs w:val="21"/>
                <w:highlight w:val="yellow"/>
                <w:lang w:eastAsia="zh-CN"/>
              </w:rPr>
              <w:t>1</w:t>
            </w:r>
            <w:r>
              <w:rPr>
                <w:rFonts w:hint="eastAsia" w:eastAsia="宋体"/>
                <w:bCs/>
                <w:color w:val="auto"/>
                <w:sz w:val="21"/>
                <w:szCs w:val="21"/>
                <w:highlight w:val="yellow"/>
                <w:lang w:val="en-US" w:eastAsia="zh-CN"/>
              </w:rPr>
              <w:t>5</w:t>
            </w:r>
            <w:r>
              <w:rPr>
                <w:rFonts w:hint="eastAsia" w:eastAsia="宋体"/>
                <w:bCs/>
                <w:color w:val="auto"/>
                <w:sz w:val="21"/>
                <w:szCs w:val="21"/>
                <w:highlight w:val="yellow"/>
                <w:lang w:eastAsia="zh-CN"/>
              </w:rPr>
              <w:t>分</w:t>
            </w:r>
          </w:p>
        </w:tc>
        <w:tc>
          <w:tcPr>
            <w:tcW w:w="6502" w:type="dxa"/>
            <w:tcBorders>
              <w:top w:val="single" w:color="auto" w:sz="4" w:space="0"/>
              <w:left w:val="single" w:color="auto" w:sz="4" w:space="0"/>
              <w:bottom w:val="single" w:color="auto" w:sz="4" w:space="0"/>
              <w:right w:val="single" w:color="auto" w:sz="4" w:space="0"/>
            </w:tcBorders>
            <w:noWrap/>
            <w:vAlign w:val="center"/>
          </w:tcPr>
          <w:p w14:paraId="5C53ADE4">
            <w:pPr>
              <w:pStyle w:val="47"/>
              <w:rPr>
                <w:rFonts w:eastAsia="宋体"/>
                <w:color w:val="auto"/>
                <w:sz w:val="21"/>
                <w:szCs w:val="21"/>
                <w:highlight w:val="yellow"/>
                <w:lang w:eastAsia="zh-CN"/>
              </w:rPr>
            </w:pPr>
            <w:bookmarkStart w:id="225" w:name="OLE_LINK3"/>
            <w:r>
              <w:rPr>
                <w:rFonts w:hint="eastAsia" w:eastAsia="宋体"/>
                <w:color w:val="auto"/>
                <w:sz w:val="21"/>
                <w:szCs w:val="21"/>
                <w:highlight w:val="yellow"/>
                <w:lang w:val="en-US" w:eastAsia="zh-CN"/>
              </w:rPr>
              <w:t>能为我公司安全诊断及评价工作提出</w:t>
            </w:r>
            <w:r>
              <w:rPr>
                <w:rFonts w:hint="eastAsia" w:eastAsia="宋体"/>
                <w:color w:val="auto"/>
                <w:sz w:val="21"/>
                <w:szCs w:val="21"/>
                <w:highlight w:val="yellow"/>
                <w:lang w:eastAsia="zh-CN"/>
              </w:rPr>
              <w:t>最优</w:t>
            </w:r>
            <w:r>
              <w:rPr>
                <w:rFonts w:hint="eastAsia" w:eastAsia="宋体"/>
                <w:color w:val="auto"/>
                <w:sz w:val="21"/>
                <w:szCs w:val="21"/>
                <w:highlight w:val="yellow"/>
                <w:lang w:val="en-US" w:eastAsia="zh-CN"/>
              </w:rPr>
              <w:t>服务方案的得10-15</w:t>
            </w:r>
            <w:r>
              <w:rPr>
                <w:rFonts w:hint="eastAsia" w:eastAsia="宋体"/>
                <w:color w:val="auto"/>
                <w:sz w:val="21"/>
                <w:szCs w:val="21"/>
                <w:highlight w:val="yellow"/>
                <w:lang w:eastAsia="zh-CN"/>
              </w:rPr>
              <w:t>分，次优</w:t>
            </w:r>
            <w:r>
              <w:rPr>
                <w:rFonts w:hint="eastAsia" w:eastAsia="宋体"/>
                <w:color w:val="auto"/>
                <w:sz w:val="21"/>
                <w:szCs w:val="21"/>
                <w:highlight w:val="yellow"/>
                <w:lang w:val="en-US" w:eastAsia="zh-CN"/>
              </w:rPr>
              <w:t>5-10</w:t>
            </w:r>
            <w:r>
              <w:rPr>
                <w:rFonts w:hint="eastAsia" w:eastAsia="宋体"/>
                <w:color w:val="auto"/>
                <w:sz w:val="21"/>
                <w:szCs w:val="21"/>
                <w:highlight w:val="yellow"/>
                <w:lang w:eastAsia="zh-CN"/>
              </w:rPr>
              <w:t>分</w:t>
            </w:r>
            <w:bookmarkEnd w:id="225"/>
          </w:p>
        </w:tc>
      </w:tr>
      <w:tr w14:paraId="0196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253" w:type="dxa"/>
            <w:tcBorders>
              <w:left w:val="single" w:color="auto" w:sz="4" w:space="0"/>
              <w:right w:val="single" w:color="auto" w:sz="4" w:space="0"/>
            </w:tcBorders>
            <w:noWrap/>
            <w:vAlign w:val="center"/>
          </w:tcPr>
          <w:p w14:paraId="4192367A">
            <w:pPr>
              <w:pStyle w:val="46"/>
              <w:spacing w:line="300" w:lineRule="auto"/>
              <w:ind w:firstLine="0" w:firstLineChars="0"/>
              <w:jc w:val="center"/>
              <w:rPr>
                <w:rFonts w:asciiTheme="minorEastAsia" w:hAnsiTheme="minorEastAsia" w:eastAsiaTheme="minorEastAsia"/>
                <w:color w:val="auto"/>
                <w:kern w:val="0"/>
                <w:highlight w:val="yellow"/>
              </w:rPr>
            </w:pPr>
            <w:r>
              <w:rPr>
                <w:rFonts w:hint="eastAsia" w:asciiTheme="minorEastAsia" w:hAnsiTheme="minorEastAsia" w:eastAsiaTheme="minorEastAsia"/>
                <w:color w:val="auto"/>
                <w:highlight w:val="yellow"/>
                <w:lang w:eastAsia="zh-CN"/>
              </w:rPr>
              <w:t>供应商</w:t>
            </w:r>
            <w:r>
              <w:rPr>
                <w:rFonts w:asciiTheme="minorEastAsia" w:hAnsiTheme="minorEastAsia" w:eastAsiaTheme="minorEastAsia"/>
                <w:color w:val="auto"/>
                <w:kern w:val="0"/>
                <w:highlight w:val="yellow"/>
              </w:rPr>
              <w:t>报价</w:t>
            </w:r>
          </w:p>
        </w:tc>
        <w:tc>
          <w:tcPr>
            <w:tcW w:w="1134" w:type="dxa"/>
            <w:tcBorders>
              <w:left w:val="single" w:color="auto" w:sz="4" w:space="0"/>
              <w:right w:val="single" w:color="auto" w:sz="4" w:space="0"/>
            </w:tcBorders>
            <w:noWrap/>
            <w:vAlign w:val="center"/>
          </w:tcPr>
          <w:p w14:paraId="096F7597">
            <w:pPr>
              <w:pStyle w:val="47"/>
              <w:spacing w:line="300" w:lineRule="auto"/>
              <w:jc w:val="center"/>
              <w:rPr>
                <w:color w:val="auto"/>
                <w:sz w:val="21"/>
                <w:szCs w:val="21"/>
                <w:highlight w:val="yellow"/>
              </w:rPr>
            </w:pPr>
            <w:r>
              <w:rPr>
                <w:rFonts w:hint="eastAsia" w:eastAsia="宋体"/>
                <w:color w:val="auto"/>
                <w:sz w:val="21"/>
                <w:szCs w:val="21"/>
                <w:highlight w:val="yellow"/>
                <w:lang w:val="en-US" w:eastAsia="zh-CN"/>
              </w:rPr>
              <w:t>7</w:t>
            </w:r>
            <w:r>
              <w:rPr>
                <w:rFonts w:hint="eastAsia" w:eastAsia="宋体"/>
                <w:color w:val="auto"/>
                <w:sz w:val="21"/>
                <w:szCs w:val="21"/>
                <w:highlight w:val="yellow"/>
                <w:lang w:eastAsia="zh-CN"/>
              </w:rPr>
              <w:t>0</w:t>
            </w:r>
            <w:r>
              <w:rPr>
                <w:rFonts w:hint="eastAsia" w:ascii="宋体" w:hAnsi="宋体" w:eastAsia="宋体" w:cs="宋体"/>
                <w:color w:val="auto"/>
                <w:sz w:val="21"/>
                <w:szCs w:val="21"/>
                <w:highlight w:val="yellow"/>
              </w:rPr>
              <w:t>分</w:t>
            </w:r>
          </w:p>
        </w:tc>
        <w:tc>
          <w:tcPr>
            <w:tcW w:w="6502" w:type="dxa"/>
            <w:tcBorders>
              <w:top w:val="single" w:color="auto" w:sz="4" w:space="0"/>
              <w:left w:val="single" w:color="auto" w:sz="4" w:space="0"/>
              <w:bottom w:val="single" w:color="auto" w:sz="4" w:space="0"/>
              <w:right w:val="single" w:color="auto" w:sz="4" w:space="0"/>
            </w:tcBorders>
            <w:noWrap/>
            <w:vAlign w:val="center"/>
          </w:tcPr>
          <w:p w14:paraId="178E0161">
            <w:pPr>
              <w:tabs>
                <w:tab w:val="right" w:pos="8306"/>
              </w:tabs>
              <w:adjustRightInd w:val="0"/>
              <w:snapToGrid w:val="0"/>
              <w:ind w:left="-2" w:leftChars="-1"/>
              <w:rPr>
                <w:rFonts w:ascii="Times New Roman" w:hAnsi="Times New Roman"/>
                <w:szCs w:val="21"/>
                <w:highlight w:val="yellow"/>
              </w:rPr>
            </w:pPr>
            <w:r>
              <w:rPr>
                <w:rFonts w:hint="eastAsia" w:ascii="Times New Roman" w:hAnsi="Times New Roman"/>
                <w:szCs w:val="21"/>
                <w:highlight w:val="yellow"/>
              </w:rPr>
              <w:t>1.评审基准价为有效成交单位的最低报价值。</w:t>
            </w:r>
          </w:p>
          <w:p w14:paraId="18FC7C1A">
            <w:pPr>
              <w:tabs>
                <w:tab w:val="right" w:pos="8306"/>
              </w:tabs>
              <w:adjustRightInd w:val="0"/>
              <w:snapToGrid w:val="0"/>
              <w:rPr>
                <w:rFonts w:ascii="Times New Roman" w:hAnsi="Times New Roman"/>
                <w:szCs w:val="21"/>
                <w:highlight w:val="yellow"/>
              </w:rPr>
            </w:pPr>
            <w:r>
              <w:rPr>
                <w:rFonts w:hint="eastAsia" w:ascii="Times New Roman" w:hAnsi="Times New Roman"/>
                <w:szCs w:val="21"/>
                <w:highlight w:val="yellow"/>
              </w:rPr>
              <w:t>2.报价分值=评审基准价/供应商报价×</w:t>
            </w:r>
            <w:r>
              <w:rPr>
                <w:rFonts w:hint="eastAsia" w:ascii="Times New Roman" w:hAnsi="Times New Roman"/>
                <w:szCs w:val="21"/>
                <w:highlight w:val="yellow"/>
                <w:lang w:val="en-US" w:eastAsia="zh-CN"/>
              </w:rPr>
              <w:t>7</w:t>
            </w:r>
            <w:r>
              <w:rPr>
                <w:rFonts w:hint="eastAsia" w:ascii="Times New Roman" w:hAnsi="Times New Roman"/>
                <w:szCs w:val="21"/>
                <w:highlight w:val="yellow"/>
              </w:rPr>
              <w:t>0 （最高</w:t>
            </w:r>
            <w:r>
              <w:rPr>
                <w:rFonts w:hint="eastAsia" w:ascii="Times New Roman" w:hAnsi="Times New Roman"/>
                <w:szCs w:val="21"/>
                <w:highlight w:val="yellow"/>
                <w:lang w:val="en-US" w:eastAsia="zh-CN"/>
              </w:rPr>
              <w:t>7</w:t>
            </w:r>
            <w:r>
              <w:rPr>
                <w:rFonts w:hint="eastAsia" w:ascii="Times New Roman" w:hAnsi="Times New Roman"/>
                <w:szCs w:val="21"/>
                <w:highlight w:val="yellow"/>
              </w:rPr>
              <w:t>0分）</w:t>
            </w:r>
          </w:p>
        </w:tc>
      </w:tr>
    </w:tbl>
    <w:p w14:paraId="758955AA">
      <w:pPr>
        <w:pStyle w:val="33"/>
        <w:widowControl/>
        <w:spacing w:beforeLines="0" w:line="300" w:lineRule="auto"/>
        <w:jc w:val="both"/>
        <w:rPr>
          <w:rFonts w:ascii="方正小标宋简体" w:hAnsi="方正小标宋简体" w:eastAsia="方正小标宋简体" w:cs="方正小标宋简体"/>
          <w:kern w:val="0"/>
          <w:szCs w:val="21"/>
        </w:rPr>
      </w:pPr>
    </w:p>
    <w:p w14:paraId="18750E52">
      <w:pPr>
        <w:widowControl/>
        <w:jc w:val="left"/>
        <w:rPr>
          <w:rFonts w:ascii="方正小标宋简体" w:hAnsi="方正小标宋简体" w:eastAsia="方正小标宋简体" w:cs="方正小标宋简体"/>
          <w:b/>
          <w:kern w:val="0"/>
          <w:sz w:val="44"/>
          <w:szCs w:val="21"/>
        </w:rPr>
      </w:pPr>
      <w:r>
        <w:rPr>
          <w:rFonts w:ascii="方正小标宋简体" w:hAnsi="方正小标宋简体" w:eastAsia="方正小标宋简体" w:cs="方正小标宋简体"/>
          <w:kern w:val="0"/>
          <w:szCs w:val="21"/>
        </w:rPr>
        <w:br w:type="page"/>
      </w:r>
    </w:p>
    <w:p w14:paraId="2CE6AE98">
      <w:pPr>
        <w:pStyle w:val="33"/>
        <w:widowControl/>
        <w:spacing w:beforeLines="0" w:line="300" w:lineRule="auto"/>
        <w:jc w:val="both"/>
      </w:pPr>
      <w:r>
        <w:rPr>
          <w:rFonts w:hint="eastAsia" w:ascii="方正小标宋简体" w:hAnsi="方正小标宋简体" w:eastAsia="方正小标宋简体" w:cs="方正小标宋简体"/>
          <w:kern w:val="0"/>
          <w:szCs w:val="21"/>
        </w:rPr>
        <w:t>第四章</w:t>
      </w:r>
      <w:r>
        <w:rPr>
          <w:rFonts w:hint="eastAsia" w:ascii="方正小标宋简体" w:hAnsi="方正小标宋简体" w:eastAsia="方正小标宋简体" w:cs="方正小标宋简体"/>
        </w:rPr>
        <w:t xml:space="preserve">  合同条款及格式</w:t>
      </w:r>
      <w:bookmarkEnd w:id="222"/>
      <w:bookmarkEnd w:id="223"/>
      <w:bookmarkEnd w:id="224"/>
      <w:bookmarkStart w:id="226" w:name="_Toc184635124"/>
      <w:bookmarkStart w:id="227" w:name="_Toc312072314"/>
    </w:p>
    <w:bookmarkEnd w:id="226"/>
    <w:bookmarkEnd w:id="227"/>
    <w:p w14:paraId="698F2217">
      <w:pPr>
        <w:jc w:val="left"/>
        <w:rPr>
          <w:rFonts w:ascii="仿宋_GB2312" w:hAnsi="宋体" w:eastAsia="仿宋_GB2312"/>
          <w:sz w:val="28"/>
        </w:rPr>
      </w:pPr>
    </w:p>
    <w:p w14:paraId="5F5D3005">
      <w:pPr>
        <w:jc w:val="left"/>
        <w:rPr>
          <w:vanish/>
        </w:rPr>
      </w:pPr>
      <w:r>
        <w:rPr>
          <w:rFonts w:hint="eastAsia" w:ascii="仿宋_GB2312" w:hAnsi="宋体" w:eastAsia="仿宋_GB2312"/>
          <w:sz w:val="28"/>
        </w:rPr>
        <w:t xml:space="preserve">合同编号：                                        </w:t>
      </w:r>
    </w:p>
    <w:p w14:paraId="2845B186">
      <w:pPr>
        <w:pStyle w:val="13"/>
        <w:jc w:val="both"/>
        <w:rPr>
          <w:rFonts w:ascii="仿宋_GB2312" w:hAnsi="宋体" w:eastAsia="仿宋_GB2312"/>
          <w:sz w:val="28"/>
        </w:rPr>
      </w:pPr>
      <w:r>
        <w:rPr>
          <w:rFonts w:hint="eastAsia" w:ascii="仿宋_GB2312" w:hAnsi="宋体" w:eastAsia="仿宋_GB2312"/>
          <w:sz w:val="28"/>
        </w:rPr>
        <w:t xml:space="preserve">                                        </w:t>
      </w:r>
      <w:r>
        <w:rPr>
          <w:rFonts w:hint="eastAsia" w:ascii="仿宋_GB2312" w:hAnsi="宋体" w:eastAsia="仿宋_GB2312"/>
          <w:sz w:val="28"/>
          <w:bdr w:val="single" w:color="auto" w:sz="4" w:space="0"/>
        </w:rPr>
        <w:t xml:space="preserve">      </w:t>
      </w:r>
    </w:p>
    <w:p w14:paraId="21CB3BB2">
      <w:pPr>
        <w:pStyle w:val="13"/>
        <w:spacing w:line="480" w:lineRule="exact"/>
        <w:ind w:firstLine="560" w:firstLineChars="200"/>
        <w:rPr>
          <w:rFonts w:ascii="仿宋_GB2312" w:hAnsi="宋体" w:eastAsia="仿宋_GB2312"/>
          <w:sz w:val="28"/>
        </w:rPr>
      </w:pPr>
      <w:r>
        <w:rPr>
          <w:rFonts w:hint="eastAsia" w:ascii="仿宋_GB2312" w:hAnsi="宋体" w:eastAsia="仿宋_GB2312"/>
          <w:sz w:val="28"/>
        </w:rPr>
        <w:t xml:space="preserve">                                     </w:t>
      </w:r>
    </w:p>
    <w:p w14:paraId="3460AFEA">
      <w:pPr>
        <w:pStyle w:val="13"/>
        <w:jc w:val="center"/>
        <w:rPr>
          <w:rFonts w:ascii="宋体" w:hAnsi="宋体" w:eastAsia="宋体" w:cs="宋体"/>
          <w:b/>
          <w:sz w:val="48"/>
          <w:szCs w:val="48"/>
        </w:rPr>
      </w:pPr>
      <w:r>
        <w:rPr>
          <w:rFonts w:hint="eastAsia" w:ascii="宋体" w:hAnsi="宋体" w:eastAsia="宋体" w:cs="宋体"/>
          <w:b/>
          <w:sz w:val="48"/>
          <w:szCs w:val="48"/>
        </w:rPr>
        <w:t>安全</w:t>
      </w:r>
      <w:r>
        <w:rPr>
          <w:rFonts w:hint="eastAsia" w:ascii="宋体" w:hAnsi="宋体" w:eastAsia="宋体" w:cs="宋体"/>
          <w:b/>
          <w:sz w:val="48"/>
          <w:szCs w:val="48"/>
          <w:lang w:val="en-US" w:eastAsia="zh-CN"/>
        </w:rPr>
        <w:t>生产诊断及现状</w:t>
      </w:r>
      <w:r>
        <w:rPr>
          <w:rFonts w:hint="eastAsia" w:ascii="宋体" w:hAnsi="宋体" w:eastAsia="宋体" w:cs="宋体"/>
          <w:b/>
          <w:sz w:val="48"/>
          <w:szCs w:val="48"/>
        </w:rPr>
        <w:t>评价技术服务合同</w:t>
      </w:r>
    </w:p>
    <w:p w14:paraId="4BB95D1E">
      <w:pPr>
        <w:pStyle w:val="13"/>
        <w:spacing w:afterLines="50"/>
        <w:rPr>
          <w:rFonts w:ascii="仿宋_GB2312" w:hAnsi="宋体" w:eastAsia="仿宋_GB2312"/>
          <w:sz w:val="30"/>
        </w:rPr>
      </w:pPr>
    </w:p>
    <w:p w14:paraId="0B7748CF">
      <w:pPr>
        <w:pStyle w:val="13"/>
        <w:spacing w:afterLines="50"/>
        <w:rPr>
          <w:rFonts w:ascii="宋体" w:hAnsi="宋体" w:eastAsia="宋体"/>
          <w:sz w:val="30"/>
        </w:rPr>
      </w:pPr>
    </w:p>
    <w:p w14:paraId="5AC8CE6B">
      <w:pPr>
        <w:pStyle w:val="13"/>
        <w:spacing w:afterLines="50"/>
        <w:rPr>
          <w:rFonts w:ascii="宋体" w:hAnsi="宋体" w:eastAsia="宋体"/>
          <w:sz w:val="30"/>
        </w:rPr>
      </w:pPr>
    </w:p>
    <w:p w14:paraId="1B67859B">
      <w:pPr>
        <w:pStyle w:val="13"/>
        <w:spacing w:afterLines="50"/>
        <w:rPr>
          <w:rFonts w:ascii="宋体" w:hAnsi="宋体" w:eastAsia="宋体"/>
          <w:sz w:val="30"/>
        </w:rPr>
      </w:pPr>
    </w:p>
    <w:p w14:paraId="401696A2">
      <w:pPr>
        <w:pStyle w:val="13"/>
        <w:spacing w:afterLines="50"/>
        <w:jc w:val="right"/>
        <w:rPr>
          <w:rFonts w:ascii="宋体" w:hAnsi="宋体" w:eastAsia="宋体"/>
          <w:sz w:val="30"/>
        </w:rPr>
      </w:pPr>
    </w:p>
    <w:p w14:paraId="4350A057">
      <w:pPr>
        <w:pStyle w:val="13"/>
        <w:spacing w:afterLines="50"/>
        <w:ind w:firstLine="1350" w:firstLineChars="450"/>
        <w:jc w:val="center"/>
        <w:rPr>
          <w:rFonts w:hint="eastAsia" w:ascii="宋体" w:hAnsi="宋体" w:cs="宋体"/>
          <w:sz w:val="28"/>
          <w:szCs w:val="28"/>
          <w:u w:val="single"/>
          <w:lang w:val="en-US" w:eastAsia="zh-CN"/>
        </w:rPr>
      </w:pPr>
      <w:r>
        <w:rPr>
          <w:rFonts w:hint="eastAsia" w:ascii="仿宋_GB2312" w:hAnsi="宋体" w:eastAsia="仿宋_GB2312"/>
          <w:sz w:val="30"/>
        </w:rPr>
        <w:t>项目名称：</w:t>
      </w:r>
      <w:r>
        <w:rPr>
          <w:rFonts w:hint="eastAsia" w:ascii="宋体" w:hAnsi="宋体" w:cs="宋体"/>
          <w:bCs/>
          <w:sz w:val="28"/>
          <w:szCs w:val="28"/>
          <w:u w:val="single"/>
        </w:rPr>
        <w:t>山东</w:t>
      </w:r>
      <w:r>
        <w:rPr>
          <w:rFonts w:hint="eastAsia" w:ascii="宋体" w:hAnsi="宋体" w:cs="宋体"/>
          <w:sz w:val="28"/>
          <w:szCs w:val="28"/>
          <w:u w:val="single"/>
        </w:rPr>
        <w:t>济钢环保新材料有限公司</w:t>
      </w:r>
      <w:r>
        <w:rPr>
          <w:rFonts w:hint="eastAsia" w:ascii="宋体" w:hAnsi="宋体" w:cs="宋体"/>
          <w:sz w:val="28"/>
          <w:szCs w:val="28"/>
          <w:u w:val="single"/>
          <w:lang w:val="en-US" w:eastAsia="zh-CN"/>
        </w:rPr>
        <w:t>2026年度</w:t>
      </w:r>
      <w:r>
        <w:rPr>
          <w:rFonts w:hint="eastAsia" w:ascii="宋体" w:hAnsi="宋体" w:cs="宋体"/>
          <w:sz w:val="28"/>
          <w:szCs w:val="28"/>
          <w:u w:val="single"/>
        </w:rPr>
        <w:t>安全生产诊断</w:t>
      </w:r>
      <w:r>
        <w:rPr>
          <w:rFonts w:hint="eastAsia" w:ascii="宋体" w:hAnsi="宋体" w:cs="宋体"/>
          <w:sz w:val="28"/>
          <w:szCs w:val="28"/>
          <w:u w:val="single"/>
          <w:lang w:val="en-US" w:eastAsia="zh-CN"/>
        </w:rPr>
        <w:t>及</w:t>
      </w:r>
    </w:p>
    <w:p w14:paraId="4C309BD7">
      <w:pPr>
        <w:pStyle w:val="13"/>
        <w:spacing w:afterLines="50"/>
        <w:ind w:firstLine="2940" w:firstLineChars="1050"/>
        <w:jc w:val="both"/>
        <w:rPr>
          <w:rFonts w:hint="eastAsia" w:ascii="宋体" w:hAnsi="宋体" w:cs="宋体"/>
          <w:sz w:val="28"/>
          <w:szCs w:val="28"/>
          <w:u w:val="single"/>
        </w:rPr>
      </w:pPr>
      <w:r>
        <w:rPr>
          <w:rFonts w:hint="eastAsia" w:ascii="宋体" w:hAnsi="宋体" w:cs="宋体"/>
          <w:sz w:val="28"/>
          <w:szCs w:val="28"/>
          <w:u w:val="single"/>
          <w:lang w:val="en-US" w:eastAsia="zh-CN"/>
        </w:rPr>
        <w:t>安全现状评价</w:t>
      </w:r>
      <w:r>
        <w:rPr>
          <w:rFonts w:hint="eastAsia" w:ascii="宋体" w:hAnsi="宋体" w:cs="宋体"/>
          <w:sz w:val="28"/>
          <w:szCs w:val="28"/>
          <w:u w:val="single"/>
        </w:rPr>
        <w:t>服务</w:t>
      </w:r>
    </w:p>
    <w:p w14:paraId="731357F9">
      <w:pPr>
        <w:pStyle w:val="13"/>
        <w:spacing w:afterLines="50"/>
        <w:ind w:firstLine="1350" w:firstLineChars="450"/>
        <w:rPr>
          <w:rFonts w:ascii="仿宋_GB2312" w:hAnsi="宋体" w:eastAsia="仿宋_GB2312"/>
          <w:sz w:val="30"/>
        </w:rPr>
      </w:pPr>
      <w:r>
        <w:rPr>
          <w:rFonts w:hint="eastAsia" w:ascii="仿宋_GB2312" w:hAnsi="宋体" w:eastAsia="仿宋_GB2312"/>
          <w:sz w:val="30"/>
        </w:rPr>
        <w:t>委托方（甲方）：</w:t>
      </w:r>
      <w:r>
        <w:rPr>
          <w:rFonts w:hint="eastAsia" w:ascii="仿宋_GB2312" w:hAnsi="宋体" w:eastAsia="仿宋_GB2312"/>
          <w:sz w:val="30"/>
          <w:u w:val="single"/>
        </w:rPr>
        <w:t xml:space="preserve">  </w:t>
      </w:r>
      <w:r>
        <w:rPr>
          <w:rFonts w:hint="eastAsia" w:ascii="宋体" w:hAnsi="宋体" w:cs="宋体"/>
          <w:sz w:val="28"/>
          <w:szCs w:val="28"/>
          <w:u w:val="single"/>
        </w:rPr>
        <w:t>山东济钢环保新材料有限公司</w:t>
      </w:r>
      <w:r>
        <w:rPr>
          <w:rFonts w:hint="eastAsia" w:ascii="仿宋_GB2312" w:hAnsi="宋体" w:eastAsia="仿宋_GB2312"/>
          <w:sz w:val="30"/>
          <w:u w:val="single"/>
        </w:rPr>
        <w:t xml:space="preserve"> </w:t>
      </w:r>
    </w:p>
    <w:p w14:paraId="2BD18BCC">
      <w:pPr>
        <w:pStyle w:val="13"/>
        <w:spacing w:afterLines="50"/>
        <w:ind w:firstLine="1350" w:firstLineChars="450"/>
        <w:rPr>
          <w:rFonts w:ascii="仿宋_GB2312" w:hAnsi="宋体" w:eastAsia="仿宋_GB2312"/>
          <w:sz w:val="30"/>
        </w:rPr>
      </w:pPr>
      <w:r>
        <w:rPr>
          <w:rFonts w:hint="eastAsia" w:ascii="仿宋_GB2312" w:hAnsi="宋体" w:eastAsia="仿宋_GB2312"/>
          <w:sz w:val="30"/>
        </w:rPr>
        <w:t>受托方（乙方）：</w:t>
      </w:r>
      <w:r>
        <w:rPr>
          <w:rFonts w:hint="eastAsia" w:ascii="仿宋_GB2312" w:hAnsi="宋体" w:eastAsia="仿宋_GB2312"/>
          <w:sz w:val="30"/>
          <w:u w:val="single"/>
        </w:rPr>
        <w:t xml:space="preserve">                   </w:t>
      </w:r>
      <w:r>
        <w:rPr>
          <w:rFonts w:ascii="仿宋_GB2312" w:hAnsi="宋体" w:eastAsia="仿宋_GB2312"/>
          <w:sz w:val="30"/>
          <w:u w:val="single"/>
        </w:rPr>
        <w:t xml:space="preserve">   </w:t>
      </w:r>
      <w:r>
        <w:rPr>
          <w:rFonts w:hint="eastAsia" w:ascii="仿宋_GB2312" w:hAnsi="宋体" w:eastAsia="仿宋_GB2312"/>
          <w:sz w:val="30"/>
          <w:u w:val="single"/>
        </w:rPr>
        <w:t xml:space="preserve">     </w:t>
      </w:r>
    </w:p>
    <w:p w14:paraId="40739700">
      <w:pPr>
        <w:pStyle w:val="13"/>
        <w:spacing w:afterLines="50"/>
        <w:ind w:firstLine="1350" w:firstLineChars="450"/>
        <w:rPr>
          <w:rFonts w:ascii="仿宋_GB2312" w:hAnsi="宋体" w:eastAsia="仿宋_GB2312"/>
          <w:sz w:val="30"/>
        </w:rPr>
      </w:pPr>
      <w:r>
        <w:rPr>
          <w:rFonts w:hint="eastAsia" w:ascii="仿宋_GB2312" w:hAnsi="宋体" w:eastAsia="仿宋_GB2312"/>
          <w:sz w:val="30"/>
        </w:rPr>
        <w:t>签订地点：</w:t>
      </w:r>
      <w:r>
        <w:rPr>
          <w:rFonts w:hint="eastAsia" w:ascii="仿宋_GB2312" w:hAnsi="宋体" w:eastAsia="仿宋_GB2312"/>
          <w:sz w:val="30"/>
          <w:u w:val="single"/>
        </w:rPr>
        <w:t xml:space="preserve">                        </w:t>
      </w:r>
      <w:r>
        <w:rPr>
          <w:rFonts w:ascii="仿宋_GB2312" w:hAnsi="宋体" w:eastAsia="仿宋_GB2312"/>
          <w:sz w:val="30"/>
          <w:u w:val="single"/>
        </w:rPr>
        <w:t xml:space="preserve"> </w:t>
      </w:r>
      <w:r>
        <w:rPr>
          <w:rFonts w:hint="eastAsia" w:ascii="仿宋_GB2312" w:hAnsi="宋体" w:eastAsia="仿宋_GB2312"/>
          <w:sz w:val="30"/>
          <w:u w:val="single"/>
        </w:rPr>
        <w:t xml:space="preserve">        </w:t>
      </w:r>
      <w:r>
        <w:rPr>
          <w:rFonts w:hint="eastAsia" w:ascii="仿宋_GB2312" w:hAnsi="宋体" w:eastAsia="仿宋_GB2312"/>
          <w:sz w:val="30"/>
        </w:rPr>
        <w:t xml:space="preserve"> </w:t>
      </w:r>
    </w:p>
    <w:p w14:paraId="14086FC7">
      <w:pPr>
        <w:pStyle w:val="13"/>
        <w:spacing w:afterLines="50"/>
        <w:ind w:firstLine="1350" w:firstLineChars="450"/>
        <w:rPr>
          <w:rFonts w:ascii="仿宋_GB2312" w:hAnsi="宋体" w:eastAsia="仿宋_GB2312"/>
          <w:sz w:val="30"/>
        </w:rPr>
      </w:pPr>
      <w:r>
        <w:rPr>
          <w:rFonts w:hint="eastAsia" w:ascii="仿宋_GB2312" w:hAnsi="宋体" w:eastAsia="仿宋_GB2312"/>
          <w:sz w:val="30"/>
        </w:rPr>
        <w:t>签订日期：</w:t>
      </w:r>
      <w:r>
        <w:rPr>
          <w:rFonts w:ascii="仿宋_GB2312" w:hAnsi="宋体" w:eastAsia="仿宋_GB2312"/>
          <w:sz w:val="30"/>
        </w:rPr>
        <w:t xml:space="preserve">    </w:t>
      </w:r>
      <w:r>
        <w:rPr>
          <w:rFonts w:hint="eastAsia" w:ascii="仿宋_GB2312" w:hAnsi="宋体" w:eastAsia="仿宋_GB2312"/>
          <w:sz w:val="30"/>
          <w:u w:val="single"/>
        </w:rPr>
        <w:t xml:space="preserve">       </w:t>
      </w:r>
      <w:r>
        <w:rPr>
          <w:rFonts w:hint="eastAsia" w:ascii="仿宋_GB2312" w:hAnsi="宋体" w:eastAsia="仿宋_GB2312"/>
          <w:sz w:val="30"/>
        </w:rPr>
        <w:t>年</w:t>
      </w:r>
      <w:r>
        <w:rPr>
          <w:rFonts w:hint="eastAsia" w:ascii="仿宋_GB2312" w:hAnsi="宋体" w:eastAsia="仿宋_GB2312"/>
          <w:sz w:val="30"/>
          <w:u w:val="single"/>
        </w:rPr>
        <w:t xml:space="preserve">      </w:t>
      </w:r>
      <w:r>
        <w:rPr>
          <w:rFonts w:hint="eastAsia" w:ascii="仿宋_GB2312" w:hAnsi="宋体" w:eastAsia="仿宋_GB2312"/>
          <w:sz w:val="30"/>
        </w:rPr>
        <w:t>月</w:t>
      </w:r>
      <w:r>
        <w:rPr>
          <w:rFonts w:hint="eastAsia" w:ascii="仿宋_GB2312" w:hAnsi="宋体" w:eastAsia="仿宋_GB2312"/>
          <w:sz w:val="30"/>
          <w:u w:val="single"/>
        </w:rPr>
        <w:t xml:space="preserve">      </w:t>
      </w:r>
      <w:r>
        <w:rPr>
          <w:rFonts w:hint="eastAsia" w:ascii="仿宋_GB2312" w:hAnsi="宋体" w:eastAsia="仿宋_GB2312"/>
          <w:sz w:val="30"/>
        </w:rPr>
        <w:t>日</w:t>
      </w:r>
    </w:p>
    <w:p w14:paraId="7518F94F">
      <w:pPr>
        <w:pStyle w:val="13"/>
        <w:spacing w:afterLines="50"/>
        <w:jc w:val="center"/>
        <w:rPr>
          <w:rFonts w:ascii="楷体" w:hAnsi="楷体" w:eastAsia="楷体" w:cs="楷体"/>
          <w:sz w:val="30"/>
        </w:rPr>
      </w:pPr>
      <w:r>
        <w:rPr>
          <w:rFonts w:hint="eastAsia" w:ascii="楷体" w:hAnsi="楷体" w:eastAsia="楷体" w:cs="楷体"/>
          <w:b/>
          <w:bCs/>
          <w:sz w:val="36"/>
          <w:szCs w:val="36"/>
        </w:rPr>
        <w:t>202</w:t>
      </w:r>
      <w:r>
        <w:rPr>
          <w:rFonts w:hint="eastAsia" w:ascii="楷体" w:hAnsi="楷体" w:eastAsia="楷体" w:cs="楷体"/>
          <w:b/>
          <w:bCs/>
          <w:sz w:val="36"/>
          <w:szCs w:val="36"/>
          <w:lang w:val="en-US" w:eastAsia="zh-CN"/>
        </w:rPr>
        <w:t>6</w:t>
      </w:r>
      <w:r>
        <w:rPr>
          <w:rFonts w:hint="eastAsia" w:ascii="楷体" w:hAnsi="楷体" w:eastAsia="楷体" w:cs="楷体"/>
          <w:b/>
          <w:bCs/>
          <w:sz w:val="36"/>
          <w:szCs w:val="36"/>
        </w:rPr>
        <w:t>年  月</w:t>
      </w:r>
    </w:p>
    <w:p w14:paraId="125A9CDA">
      <w:pPr>
        <w:sectPr>
          <w:footerReference r:id="rId7" w:type="first"/>
          <w:footerReference r:id="rId5" w:type="default"/>
          <w:footerReference r:id="rId6" w:type="even"/>
          <w:pgSz w:w="11906" w:h="16838"/>
          <w:pgMar w:top="1134" w:right="1134" w:bottom="1134" w:left="1134" w:header="851" w:footer="992" w:gutter="0"/>
          <w:pgNumType w:fmt="numberInDash"/>
          <w:cols w:space="720" w:num="1"/>
          <w:docGrid w:type="lines" w:linePitch="312" w:charSpace="0"/>
        </w:sectPr>
      </w:pPr>
    </w:p>
    <w:p w14:paraId="2E73A7D0">
      <w:pPr>
        <w:spacing w:line="520" w:lineRule="exact"/>
        <w:ind w:firstLine="480" w:firstLineChars="200"/>
        <w:rPr>
          <w:rFonts w:ascii="仿宋_GB2312" w:hAnsi="仿宋" w:eastAsia="仿宋_GB2312"/>
          <w:sz w:val="28"/>
          <w:szCs w:val="28"/>
          <w:u w:val="single"/>
        </w:rPr>
      </w:pPr>
      <w:r>
        <w:rPr>
          <w:rFonts w:hint="eastAsia" w:ascii="仿宋_GB2312" w:hAnsi="ˎ̥" w:eastAsia="仿宋_GB2312" w:cs="宋体"/>
          <w:kern w:val="0"/>
          <w:sz w:val="24"/>
        </w:rPr>
        <w:t xml:space="preserve"> </w:t>
      </w:r>
      <w:r>
        <w:rPr>
          <w:rFonts w:hint="eastAsia" w:ascii="仿宋_GB2312" w:hAnsi="仿宋" w:eastAsia="仿宋_GB2312"/>
          <w:sz w:val="28"/>
          <w:szCs w:val="28"/>
        </w:rPr>
        <w:t>委托方（甲方）：</w:t>
      </w:r>
      <w:r>
        <w:rPr>
          <w:rFonts w:hint="eastAsia" w:ascii="仿宋_GB2312" w:hAnsi="仿宋" w:eastAsia="仿宋_GB2312"/>
          <w:sz w:val="28"/>
          <w:szCs w:val="28"/>
          <w:u w:val="single"/>
        </w:rPr>
        <w:t xml:space="preserve">   山东济钢环保新材料有限公司  </w:t>
      </w:r>
    </w:p>
    <w:p w14:paraId="468BBA02">
      <w:pPr>
        <w:spacing w:line="520" w:lineRule="exact"/>
        <w:ind w:firstLine="560" w:firstLineChars="200"/>
        <w:rPr>
          <w:rFonts w:ascii="仿宋_GB2312" w:hAnsi="仿宋" w:eastAsia="仿宋_GB2312"/>
          <w:sz w:val="28"/>
          <w:szCs w:val="28"/>
          <w:u w:val="single"/>
        </w:rPr>
      </w:pPr>
      <w:r>
        <w:rPr>
          <w:rFonts w:hint="eastAsia" w:ascii="仿宋_GB2312" w:hAnsi="仿宋" w:eastAsia="仿宋_GB2312"/>
          <w:sz w:val="28"/>
          <w:szCs w:val="28"/>
        </w:rPr>
        <w:t>受托方（乙方）：</w:t>
      </w:r>
      <w:r>
        <w:rPr>
          <w:rFonts w:hint="eastAsia"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 xml:space="preserve">     </w:t>
      </w:r>
    </w:p>
    <w:p w14:paraId="0421CE88">
      <w:pPr>
        <w:spacing w:line="520" w:lineRule="exact"/>
        <w:rPr>
          <w:rFonts w:ascii="仿宋_GB2312" w:hAnsi="仿宋" w:eastAsia="仿宋_GB2312"/>
          <w:sz w:val="28"/>
          <w:szCs w:val="28"/>
        </w:rPr>
      </w:pPr>
      <w:r>
        <w:rPr>
          <w:rFonts w:hint="eastAsia" w:ascii="仿宋_GB2312" w:hAnsi="仿宋" w:eastAsia="仿宋_GB2312"/>
          <w:sz w:val="28"/>
          <w:szCs w:val="28"/>
        </w:rPr>
        <w:t xml:space="preserve">    本合同甲方委托乙方就</w:t>
      </w:r>
      <w:r>
        <w:rPr>
          <w:rFonts w:hint="eastAsia" w:ascii="仿宋_GB2312" w:hAnsi="仿宋" w:eastAsia="仿宋_GB2312"/>
          <w:sz w:val="28"/>
          <w:szCs w:val="28"/>
          <w:u w:val="single"/>
        </w:rPr>
        <w:t>山东济钢环保新材料有限公司安全</w:t>
      </w:r>
      <w:r>
        <w:rPr>
          <w:rFonts w:hint="eastAsia" w:ascii="仿宋_GB2312" w:hAnsi="仿宋" w:eastAsia="仿宋_GB2312"/>
          <w:sz w:val="28"/>
          <w:szCs w:val="28"/>
          <w:u w:val="single"/>
          <w:lang w:val="en-US" w:eastAsia="zh-CN"/>
        </w:rPr>
        <w:t>生产诊断及安全</w:t>
      </w:r>
      <w:r>
        <w:rPr>
          <w:rFonts w:hint="eastAsia" w:ascii="仿宋_GB2312" w:hAnsi="仿宋" w:eastAsia="仿宋_GB2312"/>
          <w:sz w:val="28"/>
          <w:szCs w:val="28"/>
          <w:u w:val="single"/>
        </w:rPr>
        <w:t>现状评价</w:t>
      </w:r>
      <w:r>
        <w:rPr>
          <w:rFonts w:hint="eastAsia" w:ascii="仿宋_GB2312" w:hAnsi="仿宋" w:eastAsia="仿宋_GB2312"/>
          <w:sz w:val="28"/>
          <w:szCs w:val="28"/>
        </w:rPr>
        <w:t>项目进行技术服务，并支付服务报酬。双方经过平等协商，在真实、充分地表达各自意愿的基础上，根据《中华人民共和国民法典》、《中华人民共和国安全生产法》等的规定，达成如下协议，并由双方共同恪守。</w:t>
      </w:r>
    </w:p>
    <w:p w14:paraId="15D46C4F">
      <w:pPr>
        <w:spacing w:line="520" w:lineRule="exact"/>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 xml:space="preserve">  第一条</w:t>
      </w:r>
      <w:r>
        <w:rPr>
          <w:rFonts w:hint="eastAsia" w:ascii="仿宋_GB2312" w:hAnsi="仿宋" w:eastAsia="仿宋_GB2312"/>
          <w:sz w:val="28"/>
          <w:szCs w:val="28"/>
        </w:rPr>
        <w:t xml:space="preserve"> 乙方进行技术服务的内容、要求和方式：</w:t>
      </w:r>
    </w:p>
    <w:p w14:paraId="160DE164">
      <w:pPr>
        <w:snapToGrid w:val="0"/>
        <w:spacing w:line="360" w:lineRule="auto"/>
        <w:ind w:firstLine="420" w:firstLineChars="200"/>
        <w:rPr>
          <w:rFonts w:hint="eastAsia" w:ascii="仿宋_GB2312" w:hAnsi="仿宋" w:eastAsia="仿宋_GB2312"/>
          <w:szCs w:val="28"/>
        </w:rPr>
      </w:pPr>
      <w:r>
        <w:rPr>
          <w:rFonts w:hint="eastAsia" w:ascii="仿宋_GB2312" w:hAnsi="仿宋" w:eastAsia="仿宋_GB2312"/>
          <w:szCs w:val="28"/>
        </w:rPr>
        <w:t>1、服务内容：</w:t>
      </w:r>
    </w:p>
    <w:p w14:paraId="22EDBB47">
      <w:pPr>
        <w:snapToGrid w:val="0"/>
        <w:spacing w:line="360" w:lineRule="auto"/>
        <w:ind w:firstLine="420" w:firstLineChars="200"/>
        <w:rPr>
          <w:rFonts w:hint="eastAsia" w:ascii="仿宋_GB2312" w:hAnsi="仿宋" w:eastAsia="仿宋_GB2312" w:cs="Times New Roman"/>
          <w:kern w:val="2"/>
          <w:sz w:val="21"/>
          <w:szCs w:val="28"/>
          <w:u w:val="single"/>
          <w:lang w:val="en-US" w:eastAsia="zh-CN" w:bidi="ar-SA"/>
        </w:rPr>
      </w:pPr>
      <w:r>
        <w:rPr>
          <w:rFonts w:hint="eastAsia" w:ascii="仿宋_GB2312" w:hAnsi="仿宋" w:eastAsia="仿宋_GB2312"/>
          <w:szCs w:val="28"/>
          <w:lang w:eastAsia="zh-CN"/>
        </w:rPr>
        <w:t>（</w:t>
      </w:r>
      <w:r>
        <w:rPr>
          <w:rFonts w:hint="eastAsia" w:ascii="仿宋_GB2312" w:hAnsi="仿宋" w:eastAsia="仿宋_GB2312"/>
          <w:szCs w:val="28"/>
          <w:lang w:val="en-US" w:eastAsia="zh-CN"/>
        </w:rPr>
        <w:t>1</w:t>
      </w:r>
      <w:r>
        <w:rPr>
          <w:rFonts w:hint="eastAsia" w:ascii="仿宋_GB2312" w:hAnsi="仿宋" w:eastAsia="仿宋_GB2312"/>
          <w:szCs w:val="28"/>
          <w:lang w:eastAsia="zh-CN"/>
        </w:rPr>
        <w:t>）</w:t>
      </w:r>
      <w:r>
        <w:rPr>
          <w:rFonts w:hint="eastAsia" w:ascii="仿宋_GB2312" w:hAnsi="仿宋" w:eastAsia="仿宋_GB2312" w:cs="Times New Roman"/>
          <w:kern w:val="2"/>
          <w:sz w:val="21"/>
          <w:szCs w:val="28"/>
          <w:u w:val="single"/>
          <w:lang w:val="en-US" w:eastAsia="zh-CN" w:bidi="ar-SA"/>
        </w:rPr>
        <w:t>甲方委托乙方完成山东济钢环保新材料有限公司生产工艺全流程的安全生产诊断服务工作，由乙方出具安全生产诊断报告。</w:t>
      </w:r>
    </w:p>
    <w:p w14:paraId="7834438C">
      <w:pPr>
        <w:pStyle w:val="9"/>
        <w:spacing w:line="520" w:lineRule="exact"/>
        <w:ind w:left="0" w:leftChars="0" w:firstLine="420" w:firstLineChars="200"/>
        <w:rPr>
          <w:rFonts w:ascii="仿宋_GB2312" w:hAnsi="仿宋" w:eastAsia="仿宋_GB2312"/>
          <w:szCs w:val="28"/>
          <w:u w:val="single"/>
        </w:rPr>
      </w:pPr>
      <w:r>
        <w:rPr>
          <w:rFonts w:hint="eastAsia" w:ascii="仿宋_GB2312" w:hAnsi="仿宋" w:eastAsia="仿宋_GB2312"/>
          <w:szCs w:val="28"/>
          <w:u w:val="single"/>
          <w:lang w:eastAsia="zh-CN"/>
        </w:rPr>
        <w:t>（</w:t>
      </w:r>
      <w:r>
        <w:rPr>
          <w:rFonts w:hint="eastAsia" w:ascii="仿宋_GB2312" w:hAnsi="仿宋" w:eastAsia="仿宋_GB2312"/>
          <w:szCs w:val="28"/>
          <w:u w:val="single"/>
          <w:lang w:val="en-US" w:eastAsia="zh-CN"/>
        </w:rPr>
        <w:t>2</w:t>
      </w:r>
      <w:r>
        <w:rPr>
          <w:rFonts w:hint="eastAsia" w:ascii="仿宋_GB2312" w:hAnsi="仿宋" w:eastAsia="仿宋_GB2312"/>
          <w:szCs w:val="28"/>
          <w:u w:val="single"/>
          <w:lang w:eastAsia="zh-CN"/>
        </w:rPr>
        <w:t>）</w:t>
      </w:r>
      <w:r>
        <w:rPr>
          <w:rFonts w:hint="eastAsia" w:ascii="仿宋_GB2312" w:hAnsi="仿宋" w:eastAsia="仿宋_GB2312"/>
          <w:szCs w:val="28"/>
          <w:u w:val="single"/>
        </w:rPr>
        <w:t>根据甲方对照《安全设施设计》结合矿山安全生产现状，乙方编制山东济钢环保新材料有限公司安全现状评价报告；现场评审时，乙方派评价师参加，并按照专家意见对报告进行修改；报告修改合格后交由甲方，由甲方将报告报送至政府应急管理主管部门。</w:t>
      </w:r>
    </w:p>
    <w:p w14:paraId="491FB3A8">
      <w:pPr>
        <w:pStyle w:val="9"/>
        <w:spacing w:line="520" w:lineRule="exact"/>
        <w:ind w:firstLine="560"/>
        <w:rPr>
          <w:rFonts w:hint="eastAsia" w:ascii="仿宋_GB2312" w:hAnsi="仿宋" w:eastAsia="仿宋_GB2312"/>
          <w:szCs w:val="28"/>
        </w:rPr>
      </w:pPr>
      <w:r>
        <w:rPr>
          <w:rFonts w:hint="eastAsia" w:ascii="仿宋_GB2312" w:hAnsi="仿宋" w:eastAsia="仿宋_GB2312"/>
          <w:szCs w:val="28"/>
        </w:rPr>
        <w:t>2、服务要求：</w:t>
      </w:r>
    </w:p>
    <w:p w14:paraId="5140EB72">
      <w:pPr>
        <w:snapToGrid w:val="0"/>
        <w:spacing w:line="360" w:lineRule="auto"/>
        <w:ind w:firstLine="420" w:firstLineChars="200"/>
        <w:rPr>
          <w:rFonts w:hint="eastAsia" w:eastAsia="仿宋_GB2312"/>
          <w:lang w:eastAsia="zh-CN"/>
        </w:rPr>
      </w:pPr>
      <w:r>
        <w:rPr>
          <w:rFonts w:hint="eastAsia" w:ascii="仿宋_GB2312" w:hAnsi="仿宋" w:eastAsia="仿宋_GB2312" w:cs="Times New Roman"/>
          <w:kern w:val="2"/>
          <w:sz w:val="21"/>
          <w:szCs w:val="28"/>
          <w:u w:val="single"/>
          <w:lang w:val="en-US" w:eastAsia="zh-CN" w:bidi="ar-SA"/>
        </w:rPr>
        <w:t>（1）在合同期限内，乙方为甲方进行两次安全生产诊断式检查，并分别于2026年4月中旬前及2026年11月中旬前形成安全生产诊断报告（安全生产诊断报告一式五份），由乙方盖章后及时提交给甲方。</w:t>
      </w:r>
    </w:p>
    <w:p w14:paraId="1495170B">
      <w:pPr>
        <w:pStyle w:val="9"/>
        <w:spacing w:line="520" w:lineRule="exact"/>
        <w:ind w:left="0" w:leftChars="0" w:firstLine="420" w:firstLineChars="200"/>
        <w:rPr>
          <w:rFonts w:ascii="仿宋_GB2312" w:hAnsi="仿宋" w:eastAsia="仿宋_GB2312"/>
          <w:szCs w:val="28"/>
          <w:u w:val="single"/>
        </w:rPr>
      </w:pPr>
      <w:r>
        <w:rPr>
          <w:rFonts w:hint="eastAsia" w:ascii="仿宋_GB2312" w:hAnsi="仿宋" w:eastAsia="仿宋_GB2312"/>
          <w:szCs w:val="28"/>
          <w:lang w:eastAsia="zh-CN"/>
        </w:rPr>
        <w:t>（</w:t>
      </w:r>
      <w:r>
        <w:rPr>
          <w:rFonts w:hint="eastAsia" w:ascii="仿宋_GB2312" w:hAnsi="仿宋" w:eastAsia="仿宋_GB2312"/>
          <w:szCs w:val="28"/>
          <w:lang w:val="en-US" w:eastAsia="zh-CN"/>
        </w:rPr>
        <w:t>2</w:t>
      </w:r>
      <w:r>
        <w:rPr>
          <w:rFonts w:hint="eastAsia" w:ascii="仿宋_GB2312" w:hAnsi="仿宋" w:eastAsia="仿宋_GB2312"/>
          <w:szCs w:val="28"/>
          <w:lang w:eastAsia="zh-CN"/>
        </w:rPr>
        <w:t>）</w:t>
      </w:r>
      <w:r>
        <w:rPr>
          <w:rFonts w:hint="eastAsia" w:ascii="仿宋_GB2312" w:hAnsi="仿宋" w:eastAsia="仿宋_GB2312"/>
          <w:szCs w:val="28"/>
          <w:u w:val="single"/>
        </w:rPr>
        <w:t>《山东济钢环保新材料有限公司安全现状评价报告》符合国家标准和行业标准及应急管理部门的要求。</w:t>
      </w:r>
    </w:p>
    <w:p w14:paraId="0E6E2E72">
      <w:pPr>
        <w:pStyle w:val="9"/>
        <w:spacing w:line="520" w:lineRule="exact"/>
        <w:ind w:firstLine="560"/>
        <w:rPr>
          <w:rFonts w:ascii="仿宋_GB2312" w:hAnsi="宋体" w:eastAsia="仿宋_GB2312"/>
          <w:szCs w:val="28"/>
          <w:u w:val="single"/>
        </w:rPr>
      </w:pPr>
      <w:r>
        <w:rPr>
          <w:rFonts w:hint="eastAsia" w:ascii="仿宋_GB2312" w:hAnsi="仿宋" w:eastAsia="仿宋_GB2312"/>
          <w:szCs w:val="28"/>
        </w:rPr>
        <w:t>3、服务方式：</w:t>
      </w:r>
      <w:r>
        <w:rPr>
          <w:rFonts w:hint="eastAsia" w:ascii="仿宋_GB2312" w:hAnsi="仿宋" w:eastAsia="仿宋_GB2312"/>
          <w:szCs w:val="28"/>
          <w:u w:val="single"/>
        </w:rPr>
        <w:t>乙方负责进行技术资料收集、现场调研、报告编制与修改及专家现场考评指导</w:t>
      </w:r>
      <w:r>
        <w:rPr>
          <w:rFonts w:hint="eastAsia" w:ascii="仿宋_GB2312" w:hAnsi="仿宋" w:eastAsia="仿宋_GB2312"/>
          <w:szCs w:val="28"/>
        </w:rPr>
        <w:t>。</w:t>
      </w:r>
    </w:p>
    <w:p w14:paraId="36C3FE31">
      <w:pPr>
        <w:pStyle w:val="9"/>
        <w:spacing w:line="520" w:lineRule="exact"/>
        <w:ind w:firstLine="562"/>
        <w:rPr>
          <w:rFonts w:ascii="仿宋_GB2312" w:hAnsi="仿宋" w:eastAsia="仿宋_GB2312"/>
          <w:szCs w:val="28"/>
        </w:rPr>
      </w:pPr>
      <w:r>
        <w:rPr>
          <w:rFonts w:hint="eastAsia" w:ascii="仿宋_GB2312" w:hAnsi="仿宋" w:eastAsia="仿宋_GB2312"/>
          <w:b/>
          <w:bCs/>
          <w:szCs w:val="28"/>
        </w:rPr>
        <w:t xml:space="preserve">第二条 </w:t>
      </w:r>
      <w:r>
        <w:rPr>
          <w:rFonts w:hint="eastAsia" w:ascii="仿宋_GB2312" w:hAnsi="仿宋" w:eastAsia="仿宋_GB2312"/>
          <w:szCs w:val="28"/>
        </w:rPr>
        <w:t>乙方应当按照下列进度要求进行本合同项目的技术服务工作：</w:t>
      </w:r>
    </w:p>
    <w:p w14:paraId="4E997F8C">
      <w:pPr>
        <w:pStyle w:val="9"/>
        <w:spacing w:line="520" w:lineRule="exact"/>
        <w:ind w:firstLine="560"/>
        <w:rPr>
          <w:rFonts w:ascii="仿宋_GB2312" w:hAnsi="仿宋" w:eastAsia="仿宋_GB2312"/>
          <w:szCs w:val="28"/>
        </w:rPr>
      </w:pPr>
      <w:r>
        <w:rPr>
          <w:rFonts w:hint="eastAsia" w:ascii="仿宋_GB2312" w:hAnsi="仿宋" w:eastAsia="仿宋_GB2312"/>
          <w:szCs w:val="28"/>
        </w:rPr>
        <w:t>本合同签订后，乙方在</w:t>
      </w:r>
      <w:r>
        <w:rPr>
          <w:rFonts w:hint="eastAsia" w:ascii="仿宋_GB2312" w:hAnsi="仿宋" w:eastAsia="仿宋_GB2312"/>
          <w:szCs w:val="28"/>
          <w:lang w:val="en-US" w:eastAsia="zh-CN"/>
        </w:rPr>
        <w:t>25个日历日内完成</w:t>
      </w:r>
      <w:r>
        <w:rPr>
          <w:rFonts w:hint="eastAsia" w:ascii="仿宋_GB2312" w:hAnsi="仿宋" w:eastAsia="仿宋_GB2312"/>
          <w:szCs w:val="28"/>
          <w:lang w:eastAsia="zh-CN"/>
        </w:rPr>
        <w:t>《</w:t>
      </w:r>
      <w:r>
        <w:rPr>
          <w:rFonts w:hint="eastAsia" w:ascii="仿宋_GB2312" w:hAnsi="仿宋" w:eastAsia="仿宋_GB2312"/>
          <w:szCs w:val="28"/>
        </w:rPr>
        <w:t>山东济钢环保新材料有限公司</w:t>
      </w:r>
      <w:r>
        <w:rPr>
          <w:rFonts w:hint="eastAsia" w:ascii="仿宋_GB2312" w:hAnsi="仿宋" w:eastAsia="仿宋_GB2312"/>
          <w:szCs w:val="28"/>
          <w:lang w:eastAsia="zh-CN"/>
        </w:rPr>
        <w:t>安全生产诊断报告》</w:t>
      </w:r>
      <w:r>
        <w:rPr>
          <w:rFonts w:hint="eastAsia" w:ascii="仿宋_GB2312" w:hAnsi="仿宋" w:eastAsia="仿宋_GB2312"/>
          <w:szCs w:val="28"/>
          <w:lang w:val="en-US" w:eastAsia="zh-CN"/>
        </w:rPr>
        <w:t>的编写、40</w:t>
      </w:r>
      <w:r>
        <w:rPr>
          <w:rFonts w:hint="eastAsia" w:ascii="仿宋_GB2312" w:hAnsi="仿宋" w:eastAsia="仿宋_GB2312"/>
          <w:szCs w:val="28"/>
        </w:rPr>
        <w:t>个日历日内《山东济钢环保新材料有限公司安全现状评价报告》的编写，并向甲方提交报告</w:t>
      </w:r>
      <w:r>
        <w:rPr>
          <w:rFonts w:hint="eastAsia" w:ascii="仿宋_GB2312" w:hAnsi="仿宋" w:eastAsia="仿宋_GB2312"/>
          <w:szCs w:val="28"/>
          <w:lang w:val="en-US" w:eastAsia="zh-CN"/>
        </w:rPr>
        <w:t>各</w:t>
      </w:r>
      <w:r>
        <w:rPr>
          <w:rFonts w:hint="eastAsia" w:ascii="仿宋_GB2312" w:hAnsi="仿宋" w:eastAsia="仿宋_GB2312"/>
          <w:szCs w:val="28"/>
        </w:rPr>
        <w:t>5份；报告提交后，乙方按照甲方的通知，派员参加后续安全生产许可监督核查，并按照甲方要求的时限对报告进行修改。</w:t>
      </w:r>
    </w:p>
    <w:p w14:paraId="7ABDF33B">
      <w:pPr>
        <w:spacing w:line="520" w:lineRule="exact"/>
        <w:ind w:firstLine="562" w:firstLineChars="200"/>
        <w:rPr>
          <w:rFonts w:ascii="仿宋_GB2312" w:hAnsi="仿宋" w:eastAsia="仿宋_GB2312"/>
          <w:sz w:val="28"/>
          <w:szCs w:val="28"/>
        </w:rPr>
      </w:pPr>
      <w:r>
        <w:rPr>
          <w:rFonts w:hint="eastAsia" w:ascii="仿宋_GB2312" w:hAnsi="仿宋" w:eastAsia="仿宋_GB2312"/>
          <w:b/>
          <w:sz w:val="28"/>
          <w:szCs w:val="28"/>
        </w:rPr>
        <w:t>第三条</w:t>
      </w:r>
      <w:r>
        <w:rPr>
          <w:rFonts w:hint="eastAsia" w:ascii="仿宋_GB2312" w:hAnsi="仿宋" w:eastAsia="仿宋_GB2312"/>
          <w:sz w:val="28"/>
          <w:szCs w:val="28"/>
        </w:rPr>
        <w:t xml:space="preserve"> 为保证乙方有效进行技术服务工作，甲方应当向乙方提供下列协作事项：</w:t>
      </w:r>
    </w:p>
    <w:p w14:paraId="747C5B85">
      <w:pPr>
        <w:spacing w:line="520" w:lineRule="exact"/>
        <w:ind w:firstLine="645"/>
        <w:rPr>
          <w:rFonts w:ascii="仿宋_GB2312" w:hAnsi="仿宋" w:eastAsia="仿宋_GB2312"/>
          <w:sz w:val="28"/>
          <w:szCs w:val="28"/>
        </w:rPr>
      </w:pPr>
      <w:r>
        <w:rPr>
          <w:rFonts w:hint="eastAsia" w:ascii="仿宋_GB2312" w:hAnsi="仿宋" w:eastAsia="仿宋_GB2312"/>
          <w:sz w:val="28"/>
          <w:szCs w:val="28"/>
        </w:rPr>
        <w:t>1、提供技术资料：</w:t>
      </w:r>
    </w:p>
    <w:p w14:paraId="398FC462">
      <w:pPr>
        <w:spacing w:line="520" w:lineRule="exact"/>
        <w:ind w:firstLine="645"/>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u w:val="single"/>
        </w:rPr>
        <w:t xml:space="preserve">公司相关证照 </w:t>
      </w:r>
    </w:p>
    <w:p w14:paraId="73502B34">
      <w:pPr>
        <w:spacing w:line="520" w:lineRule="exact"/>
        <w:ind w:firstLine="645"/>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u w:val="single"/>
        </w:rPr>
        <w:t>矿山安全</w:t>
      </w:r>
      <w:r>
        <w:rPr>
          <w:rFonts w:hint="eastAsia" w:ascii="仿宋_GB2312" w:hAnsi="仿宋_GB2312" w:eastAsia="仿宋_GB2312" w:cs="仿宋_GB2312"/>
          <w:bCs/>
          <w:sz w:val="28"/>
          <w:szCs w:val="28"/>
          <w:u w:val="single"/>
          <w:lang w:val="en-US" w:eastAsia="zh-CN"/>
        </w:rPr>
        <w:t>生产诊断及</w:t>
      </w:r>
      <w:r>
        <w:rPr>
          <w:rFonts w:hint="eastAsia" w:ascii="仿宋_GB2312" w:hAnsi="仿宋_GB2312" w:eastAsia="仿宋_GB2312" w:cs="仿宋_GB2312"/>
          <w:bCs/>
          <w:sz w:val="28"/>
          <w:szCs w:val="28"/>
          <w:u w:val="single"/>
        </w:rPr>
        <w:t xml:space="preserve">现状评价所需相关资料 </w:t>
      </w:r>
    </w:p>
    <w:p w14:paraId="426D9D08">
      <w:pPr>
        <w:spacing w:line="520" w:lineRule="exact"/>
        <w:ind w:firstLine="560" w:firstLineChars="200"/>
        <w:rPr>
          <w:rFonts w:ascii="仿宋_GB2312" w:hAnsi="仿宋" w:eastAsia="仿宋_GB2312"/>
          <w:sz w:val="28"/>
          <w:szCs w:val="28"/>
        </w:rPr>
      </w:pPr>
      <w:r>
        <w:rPr>
          <w:rFonts w:hint="eastAsia" w:ascii="仿宋_GB2312" w:hAnsi="仿宋" w:eastAsia="仿宋_GB2312"/>
          <w:sz w:val="28"/>
          <w:szCs w:val="28"/>
        </w:rPr>
        <w:t>2、提供工作条件：</w:t>
      </w:r>
    </w:p>
    <w:p w14:paraId="5260F9DD">
      <w:pPr>
        <w:spacing w:line="520" w:lineRule="exact"/>
        <w:ind w:firstLine="560" w:firstLineChars="200"/>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u w:val="single"/>
        </w:rPr>
        <w:t>提供开展现场技术指导工作的便利；</w:t>
      </w:r>
    </w:p>
    <w:p w14:paraId="0EC7D988">
      <w:pPr>
        <w:spacing w:line="520" w:lineRule="exact"/>
        <w:ind w:firstLine="560" w:firstLineChars="200"/>
        <w:rPr>
          <w:rFonts w:ascii="仿宋_GB2312" w:hAnsi="仿宋" w:eastAsia="仿宋_GB2312"/>
          <w:sz w:val="28"/>
          <w:szCs w:val="28"/>
          <w:u w:val="single"/>
        </w:rPr>
      </w:pPr>
      <w:r>
        <w:rPr>
          <w:rFonts w:hint="eastAsia" w:ascii="仿宋_GB2312" w:hAnsi="仿宋_GB2312" w:eastAsia="仿宋_GB2312" w:cs="仿宋_GB2312"/>
          <w:bCs/>
          <w:sz w:val="28"/>
          <w:szCs w:val="28"/>
        </w:rPr>
        <w:t>（2）</w:t>
      </w:r>
      <w:r>
        <w:rPr>
          <w:rFonts w:hint="eastAsia" w:ascii="仿宋_GB2312" w:hAnsi="仿宋" w:eastAsia="仿宋_GB2312"/>
          <w:sz w:val="28"/>
          <w:szCs w:val="28"/>
          <w:u w:val="single"/>
        </w:rPr>
        <w:t>积极配合乙方开展安全</w:t>
      </w:r>
      <w:r>
        <w:rPr>
          <w:rFonts w:hint="eastAsia" w:ascii="仿宋_GB2312" w:hAnsi="仿宋" w:eastAsia="仿宋_GB2312"/>
          <w:sz w:val="28"/>
          <w:szCs w:val="28"/>
          <w:u w:val="single"/>
          <w:lang w:val="en-US" w:eastAsia="zh-CN"/>
        </w:rPr>
        <w:t>生产诊断及</w:t>
      </w:r>
      <w:r>
        <w:rPr>
          <w:rFonts w:hint="eastAsia" w:ascii="仿宋_GB2312" w:hAnsi="仿宋" w:eastAsia="仿宋_GB2312"/>
          <w:sz w:val="28"/>
          <w:szCs w:val="28"/>
          <w:u w:val="single"/>
        </w:rPr>
        <w:t>现状评价工作，陪同评价组进行初访、现场考察、检查、核查、回访等的相关工作，及时交换意见；甲方应按乙方要求对考评过程中提出的问题进行整改。</w:t>
      </w:r>
    </w:p>
    <w:p w14:paraId="454A810B">
      <w:pPr>
        <w:spacing w:line="520" w:lineRule="exact"/>
        <w:ind w:firstLine="560" w:firstLineChars="200"/>
        <w:rPr>
          <w:rFonts w:ascii="仿宋_GB2312" w:hAnsi="仿宋" w:eastAsia="仿宋_GB2312"/>
          <w:sz w:val="28"/>
          <w:szCs w:val="28"/>
        </w:rPr>
      </w:pPr>
      <w:r>
        <w:rPr>
          <w:rFonts w:hint="eastAsia" w:ascii="仿宋_GB2312" w:hAnsi="仿宋" w:eastAsia="仿宋_GB2312"/>
          <w:sz w:val="28"/>
          <w:szCs w:val="28"/>
        </w:rPr>
        <w:t>3、其他：</w:t>
      </w:r>
    </w:p>
    <w:p w14:paraId="501C5BEA">
      <w:pPr>
        <w:spacing w:line="520" w:lineRule="exact"/>
        <w:ind w:firstLine="560" w:firstLineChars="200"/>
        <w:rPr>
          <w:rFonts w:ascii="仿宋_GB2312" w:hAnsi="仿宋" w:eastAsia="仿宋_GB2312"/>
          <w:sz w:val="28"/>
          <w:szCs w:val="28"/>
          <w:u w:val="single"/>
        </w:rPr>
      </w:pPr>
      <w:r>
        <w:rPr>
          <w:rFonts w:hint="eastAsia" w:ascii="仿宋_GB2312" w:hAnsi="仿宋" w:eastAsia="仿宋_GB2312"/>
          <w:sz w:val="28"/>
          <w:szCs w:val="28"/>
        </w:rPr>
        <w:t>甲方提供上述协作事项的时间及方式：</w:t>
      </w:r>
      <w:r>
        <w:rPr>
          <w:rFonts w:hint="eastAsia" w:ascii="仿宋_GB2312" w:hAnsi="仿宋" w:eastAsia="仿宋_GB2312"/>
          <w:sz w:val="28"/>
          <w:szCs w:val="28"/>
          <w:u w:val="single"/>
        </w:rPr>
        <w:t>根据项目进展乙方临时要求提供的，应提前三天通知甲方。</w:t>
      </w:r>
    </w:p>
    <w:p w14:paraId="06205445">
      <w:pPr>
        <w:spacing w:line="520" w:lineRule="exact"/>
        <w:ind w:firstLine="562" w:firstLineChars="200"/>
        <w:rPr>
          <w:rFonts w:ascii="仿宋_GB2312" w:hAnsi="仿宋" w:eastAsia="仿宋_GB2312"/>
          <w:sz w:val="28"/>
          <w:szCs w:val="28"/>
          <w:highlight w:val="none"/>
        </w:rPr>
      </w:pPr>
      <w:r>
        <w:rPr>
          <w:rFonts w:hint="eastAsia" w:ascii="仿宋_GB2312" w:hAnsi="仿宋" w:eastAsia="仿宋_GB2312"/>
          <w:b/>
          <w:sz w:val="28"/>
          <w:szCs w:val="28"/>
          <w:highlight w:val="none"/>
        </w:rPr>
        <w:t>第四条</w:t>
      </w:r>
      <w:r>
        <w:rPr>
          <w:rFonts w:hint="eastAsia" w:ascii="仿宋_GB2312" w:hAnsi="仿宋" w:eastAsia="仿宋_GB2312"/>
          <w:sz w:val="28"/>
          <w:szCs w:val="28"/>
          <w:highlight w:val="none"/>
        </w:rPr>
        <w:t xml:space="preserve"> 甲方向乙方支付技术服务报酬及支付方式</w:t>
      </w:r>
    </w:p>
    <w:p w14:paraId="600D00A0">
      <w:pPr>
        <w:spacing w:line="520" w:lineRule="exact"/>
        <w:ind w:left="279" w:leftChars="133" w:firstLine="280" w:firstLineChars="100"/>
        <w:rPr>
          <w:rFonts w:ascii="仿宋_GB2312" w:hAnsi="仿宋" w:eastAsia="仿宋_GB2312"/>
          <w:sz w:val="28"/>
          <w:szCs w:val="28"/>
          <w:highlight w:val="none"/>
        </w:rPr>
      </w:pPr>
      <w:r>
        <w:rPr>
          <w:rFonts w:hint="eastAsia" w:ascii="仿宋_GB2312" w:hAnsi="仿宋" w:eastAsia="仿宋_GB2312"/>
          <w:sz w:val="28"/>
          <w:szCs w:val="28"/>
          <w:highlight w:val="none"/>
          <w:lang w:val="en-US" w:eastAsia="zh-CN"/>
        </w:rPr>
        <w:t>1.</w:t>
      </w:r>
      <w:r>
        <w:rPr>
          <w:rFonts w:hint="eastAsia" w:ascii="仿宋_GB2312" w:hAnsi="仿宋" w:eastAsia="仿宋_GB2312"/>
          <w:sz w:val="28"/>
          <w:szCs w:val="28"/>
          <w:highlight w:val="none"/>
        </w:rPr>
        <w:t>技术服务报酬总额为（</w:t>
      </w:r>
      <w:r>
        <w:rPr>
          <w:rFonts w:hint="eastAsia" w:ascii="仿宋_GB2312" w:hAnsi="仿宋" w:eastAsia="仿宋_GB2312"/>
          <w:sz w:val="28"/>
          <w:szCs w:val="28"/>
          <w:highlight w:val="none"/>
          <w:u w:val="single"/>
        </w:rPr>
        <w:t>含税价，税率6%</w:t>
      </w:r>
      <w:r>
        <w:rPr>
          <w:rFonts w:hint="eastAsia" w:ascii="仿宋_GB2312" w:hAnsi="仿宋" w:eastAsia="仿宋_GB2312"/>
          <w:sz w:val="28"/>
          <w:szCs w:val="28"/>
          <w:highlight w:val="none"/>
        </w:rPr>
        <w:t>）：</w:t>
      </w:r>
      <w:r>
        <w:rPr>
          <w:rFonts w:hint="eastAsia" w:ascii="仿宋_GB2312" w:hAnsi="仿宋" w:eastAsia="仿宋_GB2312"/>
          <w:sz w:val="28"/>
          <w:szCs w:val="28"/>
          <w:highlight w:val="none"/>
          <w:u w:val="single"/>
        </w:rPr>
        <w:t>￥</w:t>
      </w:r>
      <w:r>
        <w:rPr>
          <w:rFonts w:hint="eastAsia" w:ascii="仿宋_GB2312" w:hAnsi="仿宋" w:eastAsia="仿宋_GB2312"/>
          <w:sz w:val="28"/>
          <w:szCs w:val="28"/>
          <w:highlight w:val="none"/>
          <w:u w:val="single"/>
          <w:lang w:val="en-US" w:eastAsia="zh-CN"/>
        </w:rPr>
        <w:t xml:space="preserve">     </w:t>
      </w:r>
      <w:r>
        <w:rPr>
          <w:rFonts w:hint="eastAsia" w:ascii="仿宋_GB2312" w:hAnsi="仿宋" w:eastAsia="仿宋_GB2312"/>
          <w:sz w:val="28"/>
          <w:szCs w:val="28"/>
          <w:highlight w:val="none"/>
          <w:u w:val="single"/>
        </w:rPr>
        <w:t>元人民币（大写：</w:t>
      </w:r>
      <w:r>
        <w:rPr>
          <w:rFonts w:hint="eastAsia" w:ascii="仿宋_GB2312" w:hAnsi="仿宋" w:eastAsia="仿宋_GB2312"/>
          <w:sz w:val="28"/>
          <w:szCs w:val="28"/>
          <w:highlight w:val="none"/>
          <w:u w:val="single"/>
          <w:lang w:val="en-US" w:eastAsia="zh-CN"/>
        </w:rPr>
        <w:t xml:space="preserve">    </w:t>
      </w:r>
      <w:r>
        <w:rPr>
          <w:rFonts w:hint="eastAsia" w:ascii="仿宋_GB2312" w:hAnsi="仿宋" w:eastAsia="仿宋_GB2312"/>
          <w:sz w:val="28"/>
          <w:szCs w:val="28"/>
          <w:highlight w:val="none"/>
          <w:u w:val="single"/>
        </w:rPr>
        <w:t>元整）。上述价款为乙方完成本合同约定的服务内容的全部价款</w:t>
      </w:r>
      <w:r>
        <w:rPr>
          <w:rFonts w:hint="eastAsia" w:ascii="仿宋_GB2312" w:hAnsi="仿宋" w:eastAsia="仿宋_GB2312"/>
          <w:sz w:val="28"/>
          <w:szCs w:val="28"/>
          <w:highlight w:val="none"/>
          <w:u w:val="single"/>
          <w:lang w:eastAsia="zh-CN"/>
        </w:rPr>
        <w:t>（</w:t>
      </w:r>
      <w:r>
        <w:rPr>
          <w:rFonts w:hint="eastAsia" w:ascii="仿宋_GB2312" w:hAnsi="仿宋" w:eastAsia="仿宋_GB2312"/>
          <w:sz w:val="28"/>
          <w:szCs w:val="28"/>
          <w:highlight w:val="none"/>
          <w:u w:val="single"/>
          <w:lang w:val="en-US" w:eastAsia="zh-CN"/>
        </w:rPr>
        <w:t>含专家费用</w:t>
      </w:r>
      <w:r>
        <w:rPr>
          <w:rFonts w:hint="eastAsia" w:ascii="仿宋_GB2312" w:hAnsi="仿宋" w:eastAsia="仿宋_GB2312"/>
          <w:sz w:val="28"/>
          <w:szCs w:val="28"/>
          <w:highlight w:val="none"/>
          <w:u w:val="single"/>
          <w:lang w:eastAsia="zh-CN"/>
        </w:rPr>
        <w:t>）</w:t>
      </w:r>
      <w:r>
        <w:rPr>
          <w:rFonts w:hint="eastAsia" w:ascii="仿宋_GB2312" w:hAnsi="仿宋" w:eastAsia="仿宋_GB2312"/>
          <w:sz w:val="28"/>
          <w:szCs w:val="28"/>
          <w:highlight w:val="none"/>
          <w:u w:val="single"/>
        </w:rPr>
        <w:t>，甲方除此之外不再向乙方支付任何其他费用。</w:t>
      </w:r>
      <w:r>
        <w:rPr>
          <w:rFonts w:hint="eastAsia" w:ascii="仿宋_GB2312" w:hAnsi="仿宋" w:eastAsia="仿宋_GB2312"/>
          <w:sz w:val="28"/>
          <w:szCs w:val="28"/>
          <w:highlight w:val="none"/>
        </w:rPr>
        <w:t xml:space="preserve">  </w:t>
      </w:r>
    </w:p>
    <w:p w14:paraId="20FEB66C">
      <w:pPr>
        <w:spacing w:line="520" w:lineRule="exact"/>
        <w:ind w:firstLine="640"/>
        <w:rPr>
          <w:rFonts w:ascii="仿宋_GB2312" w:hAnsi="仿宋" w:eastAsia="仿宋_GB2312"/>
          <w:sz w:val="28"/>
          <w:szCs w:val="28"/>
          <w:highlight w:val="none"/>
        </w:rPr>
      </w:pPr>
      <w:r>
        <w:rPr>
          <w:rFonts w:hint="eastAsia" w:ascii="仿宋_GB2312" w:hAnsi="仿宋" w:eastAsia="仿宋_GB2312"/>
          <w:sz w:val="28"/>
          <w:szCs w:val="28"/>
          <w:highlight w:val="none"/>
          <w:lang w:val="en-US" w:eastAsia="zh-CN"/>
        </w:rPr>
        <w:t>2.</w:t>
      </w:r>
      <w:r>
        <w:rPr>
          <w:rFonts w:hint="eastAsia" w:ascii="仿宋_GB2312" w:hAnsi="仿宋" w:eastAsia="仿宋_GB2312"/>
          <w:sz w:val="28"/>
          <w:szCs w:val="28"/>
          <w:highlight w:val="none"/>
        </w:rPr>
        <w:t>具体支付方式和时间如下：</w:t>
      </w:r>
    </w:p>
    <w:p w14:paraId="6FBDCED9">
      <w:pPr>
        <w:spacing w:line="520" w:lineRule="exact"/>
        <w:ind w:firstLine="552" w:firstLineChars="200"/>
        <w:rPr>
          <w:rFonts w:ascii="仿宋_GB2312" w:hAnsi="仿宋"/>
          <w:sz w:val="28"/>
          <w:szCs w:val="28"/>
          <w:highlight w:val="none"/>
        </w:rPr>
      </w:pPr>
      <w:r>
        <w:rPr>
          <w:rFonts w:hint="eastAsia" w:ascii="仿宋_GB2312" w:hAnsi="仿宋_GB2312" w:eastAsia="仿宋_GB2312" w:cs="仿宋_GB2312"/>
          <w:spacing w:val="-2"/>
          <w:sz w:val="28"/>
          <w:szCs w:val="28"/>
          <w:highlight w:val="none"/>
          <w:u w:val="single"/>
        </w:rPr>
        <w:t>甲方安全生产许可监督核查，提交备案版现状评价报告</w:t>
      </w:r>
      <w:r>
        <w:rPr>
          <w:rFonts w:hint="eastAsia" w:ascii="仿宋_GB2312" w:hAnsi="仿宋_GB2312" w:eastAsia="仿宋_GB2312" w:cs="仿宋_GB2312"/>
          <w:spacing w:val="-2"/>
          <w:sz w:val="28"/>
          <w:szCs w:val="28"/>
          <w:highlight w:val="none"/>
          <w:u w:val="single"/>
          <w:lang w:eastAsia="zh-CN"/>
        </w:rPr>
        <w:t>，完成安全生产许可证换证</w:t>
      </w:r>
      <w:r>
        <w:rPr>
          <w:rFonts w:hint="eastAsia" w:ascii="仿宋_GB2312" w:hAnsi="仿宋_GB2312" w:eastAsia="仿宋_GB2312" w:cs="仿宋_GB2312"/>
          <w:spacing w:val="-2"/>
          <w:sz w:val="28"/>
          <w:szCs w:val="28"/>
          <w:highlight w:val="none"/>
          <w:u w:val="single"/>
          <w:lang w:val="en-US" w:eastAsia="zh-CN"/>
        </w:rPr>
        <w:t>及安全生产诊断</w:t>
      </w:r>
      <w:r>
        <w:rPr>
          <w:rFonts w:hint="eastAsia" w:ascii="仿宋_GB2312" w:hAnsi="仿宋_GB2312" w:eastAsia="仿宋_GB2312" w:cs="仿宋_GB2312"/>
          <w:spacing w:val="-2"/>
          <w:sz w:val="28"/>
          <w:szCs w:val="28"/>
          <w:highlight w:val="none"/>
          <w:u w:val="single"/>
        </w:rPr>
        <w:t>后，</w:t>
      </w:r>
      <w:r>
        <w:rPr>
          <w:rFonts w:hint="eastAsia" w:ascii="仿宋_GB2312" w:hAnsi="仿宋" w:eastAsia="仿宋_GB2312"/>
          <w:sz w:val="28"/>
          <w:szCs w:val="28"/>
          <w:highlight w:val="none"/>
          <w:u w:val="single"/>
        </w:rPr>
        <w:t>乙方出具含6%增值税</w:t>
      </w:r>
      <w:r>
        <w:rPr>
          <w:rFonts w:hint="eastAsia" w:ascii="仿宋_GB2312" w:hAnsi="仿宋" w:eastAsia="仿宋_GB2312"/>
          <w:sz w:val="28"/>
          <w:szCs w:val="28"/>
          <w:highlight w:val="none"/>
          <w:u w:val="single"/>
          <w:lang w:eastAsia="zh-CN"/>
        </w:rPr>
        <w:t>专用</w:t>
      </w:r>
      <w:r>
        <w:rPr>
          <w:rFonts w:hint="eastAsia" w:ascii="仿宋_GB2312" w:hAnsi="仿宋" w:eastAsia="仿宋_GB2312"/>
          <w:sz w:val="28"/>
          <w:szCs w:val="28"/>
          <w:highlight w:val="none"/>
          <w:u w:val="single"/>
        </w:rPr>
        <w:t>发票，甲方</w:t>
      </w:r>
      <w:r>
        <w:rPr>
          <w:rFonts w:hint="eastAsia" w:ascii="仿宋_GB2312" w:hAnsi="仿宋_GB2312" w:eastAsia="仿宋_GB2312" w:cs="仿宋_GB2312"/>
          <w:spacing w:val="-2"/>
          <w:sz w:val="28"/>
          <w:szCs w:val="28"/>
          <w:highlight w:val="none"/>
          <w:u w:val="single"/>
        </w:rPr>
        <w:t>向乙方</w:t>
      </w:r>
      <w:r>
        <w:rPr>
          <w:rFonts w:hint="eastAsia" w:ascii="仿宋_GB2312" w:hAnsi="仿宋_GB2312" w:eastAsia="仿宋_GB2312" w:cs="仿宋_GB2312"/>
          <w:spacing w:val="-2"/>
          <w:sz w:val="28"/>
          <w:szCs w:val="28"/>
          <w:highlight w:val="none"/>
          <w:u w:val="single"/>
          <w:lang w:val="en-US" w:eastAsia="zh-CN"/>
        </w:rPr>
        <w:t>一次性</w:t>
      </w:r>
      <w:r>
        <w:rPr>
          <w:rFonts w:hint="eastAsia" w:ascii="仿宋_GB2312" w:hAnsi="仿宋_GB2312" w:eastAsia="仿宋_GB2312" w:cs="仿宋_GB2312"/>
          <w:spacing w:val="-2"/>
          <w:sz w:val="28"/>
          <w:szCs w:val="28"/>
          <w:highlight w:val="none"/>
          <w:u w:val="single"/>
        </w:rPr>
        <w:t>支付合同</w:t>
      </w:r>
      <w:r>
        <w:rPr>
          <w:rFonts w:hint="eastAsia" w:ascii="仿宋_GB2312" w:hAnsi="仿宋_GB2312" w:eastAsia="仿宋_GB2312" w:cs="仿宋_GB2312"/>
          <w:spacing w:val="-2"/>
          <w:sz w:val="28"/>
          <w:szCs w:val="28"/>
          <w:highlight w:val="none"/>
          <w:u w:val="single"/>
          <w:lang w:val="en-US" w:eastAsia="zh-CN"/>
        </w:rPr>
        <w:t>总</w:t>
      </w:r>
      <w:r>
        <w:rPr>
          <w:rFonts w:hint="eastAsia" w:ascii="仿宋_GB2312" w:hAnsi="仿宋_GB2312" w:eastAsia="仿宋_GB2312" w:cs="仿宋_GB2312"/>
          <w:spacing w:val="-2"/>
          <w:sz w:val="28"/>
          <w:szCs w:val="28"/>
          <w:highlight w:val="none"/>
          <w:u w:val="single"/>
        </w:rPr>
        <w:t>额。</w:t>
      </w:r>
    </w:p>
    <w:p w14:paraId="15902D34">
      <w:pPr>
        <w:spacing w:line="520" w:lineRule="exact"/>
        <w:ind w:firstLine="640"/>
        <w:rPr>
          <w:rFonts w:ascii="仿宋_GB2312" w:hAnsi="仿宋_GB2312" w:eastAsia="仿宋_GB2312" w:cs="仿宋_GB2312"/>
          <w:spacing w:val="-2"/>
          <w:sz w:val="28"/>
          <w:szCs w:val="28"/>
          <w:u w:val="single"/>
        </w:rPr>
      </w:pPr>
      <w:r>
        <w:rPr>
          <w:rFonts w:hint="eastAsia" w:ascii="仿宋_GB2312" w:hAnsi="仿宋_GB2312" w:eastAsia="仿宋_GB2312" w:cs="仿宋_GB2312"/>
          <w:spacing w:val="-2"/>
          <w:sz w:val="28"/>
          <w:szCs w:val="28"/>
        </w:rPr>
        <w:t>3、支付方式：</w:t>
      </w:r>
      <w:r>
        <w:rPr>
          <w:rFonts w:hint="eastAsia" w:ascii="仿宋_GB2312" w:hAnsi="仿宋_GB2312" w:eastAsia="仿宋_GB2312" w:cs="仿宋_GB2312"/>
          <w:spacing w:val="-2"/>
          <w:sz w:val="28"/>
          <w:szCs w:val="28"/>
          <w:u w:val="single"/>
        </w:rPr>
        <w:t>以电汇方式支付。</w:t>
      </w:r>
    </w:p>
    <w:p w14:paraId="5F2CD874">
      <w:pPr>
        <w:spacing w:line="520" w:lineRule="exact"/>
        <w:rPr>
          <w:rFonts w:ascii="仿宋_GB2312" w:hAnsi="仿宋" w:eastAsia="仿宋_GB2312"/>
          <w:sz w:val="28"/>
          <w:szCs w:val="28"/>
        </w:rPr>
      </w:pPr>
      <w:r>
        <w:rPr>
          <w:rFonts w:hint="eastAsia" w:ascii="仿宋_GB2312" w:hAnsi="仿宋" w:eastAsia="仿宋_GB2312"/>
          <w:sz w:val="28"/>
          <w:szCs w:val="28"/>
        </w:rPr>
        <w:t xml:space="preserve">    乙方开户银行名称、地址和帐号为：</w:t>
      </w:r>
    </w:p>
    <w:p w14:paraId="7ABC3704">
      <w:pPr>
        <w:spacing w:line="520" w:lineRule="exact"/>
        <w:rPr>
          <w:rFonts w:ascii="仿宋_GB2312" w:hAnsi="仿宋" w:eastAsia="仿宋_GB2312"/>
          <w:sz w:val="28"/>
          <w:szCs w:val="28"/>
        </w:rPr>
      </w:pPr>
      <w:r>
        <w:rPr>
          <w:rFonts w:hint="eastAsia" w:ascii="仿宋_GB2312" w:hAnsi="仿宋" w:eastAsia="仿宋_GB2312"/>
          <w:sz w:val="28"/>
          <w:szCs w:val="28"/>
        </w:rPr>
        <w:t xml:space="preserve">    帐户名称：</w:t>
      </w:r>
      <w:r>
        <w:rPr>
          <w:rFonts w:hint="eastAsia"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eastAsia="仿宋_GB2312"/>
          <w:sz w:val="28"/>
          <w:szCs w:val="28"/>
          <w:u w:val="single"/>
        </w:rPr>
        <w:t xml:space="preserve"> </w:t>
      </w:r>
      <w:r>
        <w:rPr>
          <w:rFonts w:hint="eastAsia" w:ascii="仿宋_GB2312" w:hAnsi="仿宋" w:eastAsia="仿宋_GB2312"/>
          <w:sz w:val="28"/>
          <w:szCs w:val="28"/>
          <w:u w:val="single"/>
        </w:rPr>
        <w:t xml:space="preserve">  </w:t>
      </w:r>
    </w:p>
    <w:p w14:paraId="400415A7">
      <w:pPr>
        <w:spacing w:line="520" w:lineRule="exact"/>
        <w:ind w:firstLine="560" w:firstLineChars="200"/>
        <w:rPr>
          <w:rFonts w:ascii="仿宋_GB2312" w:eastAsia="仿宋_GB2312"/>
          <w:sz w:val="28"/>
          <w:szCs w:val="28"/>
          <w:highlight w:val="yellow"/>
          <w:u w:val="single"/>
        </w:rPr>
      </w:pPr>
      <w:r>
        <w:rPr>
          <w:rFonts w:hint="eastAsia" w:ascii="仿宋_GB2312" w:hAnsi="仿宋" w:eastAsia="仿宋_GB2312"/>
          <w:sz w:val="28"/>
          <w:szCs w:val="28"/>
        </w:rPr>
        <w:t>开户银行：</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single"/>
        </w:rPr>
        <w:t xml:space="preserve">    </w:t>
      </w:r>
    </w:p>
    <w:p w14:paraId="22FEC6E4">
      <w:pPr>
        <w:spacing w:line="520" w:lineRule="exact"/>
        <w:ind w:firstLine="560" w:firstLineChars="200"/>
        <w:rPr>
          <w:rFonts w:ascii="仿宋_GB2312" w:eastAsia="仿宋_GB2312"/>
          <w:sz w:val="28"/>
          <w:szCs w:val="28"/>
          <w:u w:val="single"/>
        </w:rPr>
      </w:pPr>
      <w:r>
        <w:rPr>
          <w:rFonts w:hint="eastAsia" w:ascii="仿宋_GB2312" w:eastAsia="仿宋_GB2312"/>
          <w:sz w:val="28"/>
          <w:szCs w:val="28"/>
        </w:rPr>
        <w:t>银行账号：</w:t>
      </w:r>
      <w:r>
        <w:rPr>
          <w:rFonts w:hint="eastAsia"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eastAsia="仿宋_GB2312"/>
          <w:sz w:val="28"/>
          <w:szCs w:val="28"/>
          <w:u w:val="single"/>
        </w:rPr>
        <w:t xml:space="preserve">    </w:t>
      </w:r>
      <w:r>
        <w:rPr>
          <w:rFonts w:ascii="仿宋_GB2312" w:eastAsia="仿宋_GB2312"/>
          <w:sz w:val="28"/>
          <w:szCs w:val="28"/>
          <w:u w:val="single"/>
        </w:rPr>
        <w:t xml:space="preserve"> </w:t>
      </w:r>
      <w:r>
        <w:rPr>
          <w:rFonts w:hint="eastAsia" w:ascii="仿宋_GB2312" w:eastAsia="仿宋_GB2312"/>
          <w:sz w:val="28"/>
          <w:szCs w:val="28"/>
          <w:u w:val="single"/>
        </w:rPr>
        <w:t xml:space="preserve"> </w:t>
      </w:r>
    </w:p>
    <w:p w14:paraId="59E49EEF">
      <w:pPr>
        <w:spacing w:line="520" w:lineRule="exact"/>
        <w:ind w:left="560" w:hanging="560" w:hangingChars="200"/>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第五条</w:t>
      </w:r>
      <w:r>
        <w:rPr>
          <w:rFonts w:hint="eastAsia" w:ascii="仿宋_GB2312" w:hAnsi="仿宋" w:eastAsia="仿宋_GB2312"/>
          <w:sz w:val="28"/>
          <w:szCs w:val="28"/>
        </w:rPr>
        <w:t xml:space="preserve"> 双方确定因履行本合同应遵守的保密义务 </w:t>
      </w:r>
    </w:p>
    <w:p w14:paraId="6C4F73D7">
      <w:pPr>
        <w:spacing w:line="520" w:lineRule="exact"/>
        <w:ind w:firstLine="560" w:firstLineChars="200"/>
        <w:rPr>
          <w:rFonts w:ascii="仿宋_GB2312" w:hAnsi="仿宋" w:eastAsia="仿宋_GB2312"/>
          <w:sz w:val="28"/>
          <w:szCs w:val="28"/>
        </w:rPr>
      </w:pPr>
      <w:r>
        <w:rPr>
          <w:rFonts w:hint="eastAsia" w:ascii="仿宋_GB2312" w:eastAsia="仿宋_GB2312"/>
          <w:sz w:val="28"/>
          <w:szCs w:val="28"/>
        </w:rPr>
        <w:t>1、甲方</w:t>
      </w:r>
    </w:p>
    <w:p w14:paraId="21905841">
      <w:pPr>
        <w:spacing w:line="520" w:lineRule="exact"/>
        <w:ind w:firstLine="618" w:firstLineChars="221"/>
        <w:rPr>
          <w:rFonts w:ascii="仿宋_GB2312" w:hAnsi="仿宋" w:eastAsia="仿宋_GB2312"/>
          <w:sz w:val="28"/>
          <w:szCs w:val="28"/>
          <w:u w:val="single"/>
        </w:rPr>
      </w:pPr>
      <w:r>
        <w:rPr>
          <w:rFonts w:hint="eastAsia" w:ascii="仿宋_GB2312" w:hAnsi="仿宋" w:eastAsia="仿宋_GB2312"/>
          <w:sz w:val="28"/>
          <w:szCs w:val="28"/>
        </w:rPr>
        <w:t>（1）保密内容（包括技术信息和经营信息）:</w:t>
      </w:r>
      <w:r>
        <w:rPr>
          <w:rFonts w:hint="eastAsia" w:ascii="仿宋_GB2312" w:hAnsi="仿宋" w:eastAsia="仿宋_GB2312"/>
          <w:sz w:val="28"/>
          <w:szCs w:val="28"/>
          <w:u w:val="single"/>
        </w:rPr>
        <w:t>服务过程中所知悉的乙方未公开的和服务内容相关的技术内容和经营信息。</w:t>
      </w:r>
    </w:p>
    <w:p w14:paraId="1F868185">
      <w:pPr>
        <w:spacing w:line="520" w:lineRule="exact"/>
        <w:ind w:firstLine="618" w:firstLineChars="221"/>
        <w:rPr>
          <w:rFonts w:ascii="仿宋_GB2312" w:hAnsi="仿宋" w:eastAsia="仿宋_GB2312"/>
          <w:sz w:val="28"/>
          <w:szCs w:val="28"/>
          <w:u w:val="single"/>
        </w:rPr>
      </w:pPr>
      <w:r>
        <w:rPr>
          <w:rFonts w:hint="eastAsia" w:ascii="仿宋_GB2312" w:hAnsi="仿宋" w:eastAsia="仿宋_GB2312"/>
          <w:sz w:val="28"/>
          <w:szCs w:val="28"/>
        </w:rPr>
        <w:t>（2）涉密人员范围:</w:t>
      </w:r>
      <w:r>
        <w:rPr>
          <w:rFonts w:hint="eastAsia" w:ascii="仿宋_GB2312" w:hAnsi="仿宋" w:eastAsia="仿宋_GB2312"/>
          <w:sz w:val="28"/>
          <w:szCs w:val="28"/>
          <w:u w:val="single"/>
        </w:rPr>
        <w:t>甲方项目组全体成员。</w:t>
      </w:r>
    </w:p>
    <w:p w14:paraId="125CF978">
      <w:pPr>
        <w:spacing w:line="520" w:lineRule="exact"/>
        <w:ind w:firstLine="618" w:firstLineChars="221"/>
        <w:rPr>
          <w:rFonts w:ascii="仿宋_GB2312" w:hAnsi="仿宋" w:eastAsia="仿宋_GB2312"/>
          <w:sz w:val="28"/>
          <w:szCs w:val="28"/>
          <w:u w:val="single"/>
        </w:rPr>
      </w:pPr>
      <w:r>
        <w:rPr>
          <w:rFonts w:hint="eastAsia" w:ascii="仿宋_GB2312" w:hAnsi="仿宋" w:eastAsia="仿宋_GB2312"/>
          <w:sz w:val="28"/>
          <w:szCs w:val="28"/>
        </w:rPr>
        <w:t>（3）保密期限：</w:t>
      </w:r>
      <w:r>
        <w:rPr>
          <w:rFonts w:hint="eastAsia" w:ascii="仿宋_GB2312" w:hAnsi="仿宋" w:eastAsia="仿宋_GB2312"/>
          <w:sz w:val="28"/>
          <w:szCs w:val="28"/>
          <w:u w:val="single"/>
        </w:rPr>
        <w:t>自合同签订之日起至合同期满后五年</w:t>
      </w:r>
      <w:r>
        <w:rPr>
          <w:rFonts w:hint="eastAsia" w:ascii="仿宋_GB2312" w:hAnsi="仿宋" w:eastAsia="仿宋_GB2312"/>
          <w:sz w:val="28"/>
          <w:szCs w:val="28"/>
        </w:rPr>
        <w:t>。</w:t>
      </w:r>
    </w:p>
    <w:p w14:paraId="63E64809">
      <w:pPr>
        <w:spacing w:line="520" w:lineRule="exact"/>
        <w:ind w:firstLine="618" w:firstLineChars="221"/>
        <w:rPr>
          <w:rFonts w:ascii="仿宋_GB2312" w:hAnsi="仿宋" w:eastAsia="仿宋_GB2312"/>
          <w:sz w:val="28"/>
          <w:szCs w:val="28"/>
        </w:rPr>
      </w:pPr>
      <w:r>
        <w:rPr>
          <w:rFonts w:hint="eastAsia" w:ascii="仿宋_GB2312" w:hAnsi="仿宋" w:eastAsia="仿宋_GB2312"/>
          <w:sz w:val="28"/>
          <w:szCs w:val="28"/>
        </w:rPr>
        <w:t>（4）泄密责任：</w:t>
      </w:r>
      <w:r>
        <w:rPr>
          <w:rFonts w:hint="eastAsia" w:ascii="仿宋_GB2312" w:hAnsi="仿宋" w:eastAsia="仿宋_GB2312"/>
          <w:sz w:val="28"/>
          <w:szCs w:val="28"/>
          <w:u w:val="single"/>
        </w:rPr>
        <w:t>承担由于甲方人员未履行保密义务，而给乙方造成的实际损失</w:t>
      </w:r>
      <w:r>
        <w:rPr>
          <w:rFonts w:hint="eastAsia" w:ascii="仿宋_GB2312" w:hAnsi="仿宋" w:eastAsia="仿宋_GB2312"/>
          <w:sz w:val="28"/>
          <w:szCs w:val="28"/>
        </w:rPr>
        <w:t>。</w:t>
      </w:r>
    </w:p>
    <w:p w14:paraId="5DFF605A">
      <w:pPr>
        <w:spacing w:line="520" w:lineRule="exact"/>
        <w:ind w:firstLine="618" w:firstLineChars="221"/>
        <w:rPr>
          <w:rFonts w:ascii="仿宋_GB2312" w:hAnsi="仿宋" w:eastAsia="仿宋_GB2312"/>
          <w:sz w:val="28"/>
          <w:szCs w:val="28"/>
        </w:rPr>
      </w:pPr>
      <w:r>
        <w:rPr>
          <w:rFonts w:hint="eastAsia" w:ascii="仿宋_GB2312" w:hAnsi="仿宋" w:eastAsia="仿宋_GB2312"/>
          <w:sz w:val="28"/>
          <w:szCs w:val="28"/>
        </w:rPr>
        <w:t>2、乙方</w:t>
      </w:r>
    </w:p>
    <w:p w14:paraId="689A9CF3">
      <w:pPr>
        <w:spacing w:line="520" w:lineRule="exact"/>
        <w:ind w:firstLine="618" w:firstLineChars="221"/>
        <w:rPr>
          <w:rFonts w:ascii="仿宋_GB2312" w:hAnsi="仿宋" w:eastAsia="仿宋_GB2312"/>
          <w:sz w:val="28"/>
          <w:szCs w:val="28"/>
        </w:rPr>
      </w:pPr>
      <w:r>
        <w:rPr>
          <w:rFonts w:hint="eastAsia" w:ascii="仿宋_GB2312" w:hAnsi="仿宋" w:eastAsia="仿宋_GB2312"/>
          <w:sz w:val="28"/>
          <w:szCs w:val="28"/>
        </w:rPr>
        <w:t>（1）保密内容（包括技术信息和经营信息）:</w:t>
      </w:r>
      <w:r>
        <w:rPr>
          <w:rFonts w:hint="eastAsia" w:ascii="仿宋_GB2312" w:hAnsi="仿宋" w:eastAsia="仿宋_GB2312"/>
          <w:sz w:val="28"/>
          <w:szCs w:val="28"/>
          <w:u w:val="single"/>
        </w:rPr>
        <w:t>服务过程中所知悉的甲方未公开的和服务内容相关的技术内容和经营信息</w:t>
      </w:r>
      <w:r>
        <w:rPr>
          <w:rFonts w:hint="eastAsia" w:ascii="仿宋_GB2312" w:hAnsi="仿宋" w:eastAsia="仿宋_GB2312"/>
          <w:sz w:val="28"/>
          <w:szCs w:val="28"/>
        </w:rPr>
        <w:t xml:space="preserve">。 </w:t>
      </w:r>
    </w:p>
    <w:p w14:paraId="6F4093EA">
      <w:pPr>
        <w:spacing w:line="520" w:lineRule="exact"/>
        <w:ind w:firstLine="618" w:firstLineChars="221"/>
        <w:rPr>
          <w:rFonts w:ascii="仿宋_GB2312" w:hAnsi="仿宋" w:eastAsia="仿宋_GB2312"/>
          <w:sz w:val="28"/>
          <w:szCs w:val="28"/>
          <w:u w:val="single"/>
        </w:rPr>
      </w:pPr>
      <w:r>
        <w:rPr>
          <w:rFonts w:hint="eastAsia" w:ascii="仿宋_GB2312" w:hAnsi="仿宋" w:eastAsia="仿宋_GB2312"/>
          <w:sz w:val="28"/>
          <w:szCs w:val="28"/>
        </w:rPr>
        <w:t>（2）涉密人员范围:</w:t>
      </w:r>
      <w:r>
        <w:rPr>
          <w:rFonts w:hint="eastAsia" w:ascii="仿宋_GB2312" w:hAnsi="仿宋" w:eastAsia="仿宋_GB2312"/>
          <w:sz w:val="28"/>
          <w:szCs w:val="28"/>
          <w:u w:val="single"/>
        </w:rPr>
        <w:t xml:space="preserve">乙方项目组全体成员。 </w:t>
      </w:r>
    </w:p>
    <w:p w14:paraId="56F28694">
      <w:pPr>
        <w:spacing w:line="520" w:lineRule="exact"/>
        <w:ind w:left="479" w:leftChars="228" w:firstLine="196" w:firstLineChars="70"/>
        <w:rPr>
          <w:rFonts w:ascii="仿宋_GB2312" w:hAnsi="仿宋" w:eastAsia="仿宋_GB2312"/>
          <w:sz w:val="28"/>
          <w:szCs w:val="28"/>
          <w:u w:val="single"/>
        </w:rPr>
      </w:pPr>
      <w:r>
        <w:rPr>
          <w:rFonts w:hint="eastAsia" w:ascii="仿宋_GB2312" w:hAnsi="仿宋" w:eastAsia="仿宋_GB2312"/>
          <w:sz w:val="28"/>
          <w:szCs w:val="28"/>
        </w:rPr>
        <w:t>（3）保密期限：</w:t>
      </w:r>
      <w:r>
        <w:rPr>
          <w:rFonts w:hint="eastAsia" w:ascii="仿宋_GB2312" w:hAnsi="仿宋" w:eastAsia="仿宋_GB2312"/>
          <w:sz w:val="28"/>
          <w:szCs w:val="28"/>
          <w:u w:val="single"/>
        </w:rPr>
        <w:t>自合同签订之日起至合同期满后五年</w:t>
      </w:r>
      <w:r>
        <w:rPr>
          <w:rFonts w:hint="eastAsia" w:ascii="仿宋_GB2312" w:hAnsi="仿宋" w:eastAsia="仿宋_GB2312"/>
          <w:sz w:val="28"/>
          <w:szCs w:val="28"/>
        </w:rPr>
        <w:t>。</w:t>
      </w:r>
    </w:p>
    <w:p w14:paraId="59BC8F7B">
      <w:pPr>
        <w:spacing w:line="520" w:lineRule="exact"/>
        <w:ind w:left="479" w:leftChars="228" w:firstLine="196" w:firstLineChars="70"/>
        <w:rPr>
          <w:rFonts w:ascii="仿宋_GB2312" w:hAnsi="仿宋" w:eastAsia="仿宋_GB2312"/>
          <w:sz w:val="28"/>
          <w:szCs w:val="28"/>
        </w:rPr>
      </w:pPr>
      <w:r>
        <w:rPr>
          <w:rFonts w:hint="eastAsia" w:ascii="仿宋_GB2312" w:hAnsi="仿宋" w:eastAsia="仿宋_GB2312"/>
          <w:sz w:val="28"/>
          <w:szCs w:val="28"/>
        </w:rPr>
        <w:t>（4）泄密责任：</w:t>
      </w:r>
      <w:r>
        <w:rPr>
          <w:rFonts w:hint="eastAsia" w:ascii="仿宋_GB2312" w:hAnsi="仿宋" w:eastAsia="仿宋_GB2312"/>
          <w:sz w:val="28"/>
          <w:szCs w:val="28"/>
          <w:u w:val="single"/>
        </w:rPr>
        <w:t>承担由于乙方人员未履行保密义务而给甲方造成的实际损失</w:t>
      </w:r>
      <w:r>
        <w:rPr>
          <w:rFonts w:hint="eastAsia" w:ascii="仿宋_GB2312" w:hAnsi="仿宋" w:eastAsia="仿宋_GB2312"/>
          <w:sz w:val="28"/>
          <w:szCs w:val="28"/>
        </w:rPr>
        <w:t>。</w:t>
      </w:r>
    </w:p>
    <w:p w14:paraId="1397B6F4">
      <w:pPr>
        <w:spacing w:line="520" w:lineRule="exact"/>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第六条</w:t>
      </w:r>
      <w:r>
        <w:rPr>
          <w:rFonts w:hint="eastAsia" w:ascii="仿宋_GB2312" w:hAnsi="仿宋" w:eastAsia="仿宋_GB2312"/>
          <w:sz w:val="28"/>
          <w:szCs w:val="28"/>
        </w:rPr>
        <w:t xml:space="preserve"> 本合同的变更必须由双方协商一致，并以书面形式确定。但有下列情形之一的，一方可以向另一方提出变更合同权利与义务的书面请求，另一方应当在</w:t>
      </w:r>
      <w:r>
        <w:rPr>
          <w:rFonts w:hint="eastAsia" w:ascii="仿宋_GB2312" w:hAnsi="仿宋" w:eastAsia="仿宋_GB2312"/>
          <w:sz w:val="28"/>
          <w:szCs w:val="28"/>
          <w:u w:val="single"/>
        </w:rPr>
        <w:t>十五</w:t>
      </w:r>
      <w:r>
        <w:rPr>
          <w:rFonts w:hint="eastAsia" w:ascii="仿宋_GB2312" w:hAnsi="仿宋" w:eastAsia="仿宋_GB2312"/>
          <w:sz w:val="28"/>
          <w:szCs w:val="28"/>
        </w:rPr>
        <w:t>日内予以答复，逾期未予答复的，视为同意。</w:t>
      </w:r>
    </w:p>
    <w:p w14:paraId="270D23FB">
      <w:pPr>
        <w:spacing w:line="520" w:lineRule="exact"/>
        <w:rPr>
          <w:rFonts w:ascii="仿宋_GB2312" w:hAnsi="仿宋" w:eastAsia="仿宋_GB2312"/>
          <w:sz w:val="28"/>
          <w:szCs w:val="28"/>
        </w:rPr>
      </w:pPr>
      <w:r>
        <w:rPr>
          <w:rFonts w:hint="eastAsia" w:ascii="仿宋_GB2312" w:hAnsi="仿宋" w:eastAsia="仿宋_GB2312"/>
          <w:sz w:val="28"/>
          <w:szCs w:val="28"/>
        </w:rPr>
        <w:t xml:space="preserve">    1、</w:t>
      </w:r>
      <w:r>
        <w:rPr>
          <w:rFonts w:hint="eastAsia" w:ascii="仿宋_GB2312" w:hAnsi="仿宋" w:eastAsia="仿宋_GB2312"/>
          <w:sz w:val="28"/>
          <w:szCs w:val="28"/>
          <w:u w:val="single"/>
        </w:rPr>
        <w:t xml:space="preserve">重新确定提交服务成果的时间。 </w:t>
      </w:r>
    </w:p>
    <w:p w14:paraId="5D9CC721">
      <w:pPr>
        <w:spacing w:line="520" w:lineRule="exact"/>
        <w:ind w:firstLine="562" w:firstLineChars="200"/>
        <w:rPr>
          <w:rFonts w:ascii="仿宋_GB2312" w:hAnsi="仿宋" w:eastAsia="仿宋_GB2312"/>
          <w:sz w:val="28"/>
          <w:szCs w:val="28"/>
        </w:rPr>
      </w:pPr>
      <w:r>
        <w:rPr>
          <w:rFonts w:hint="eastAsia" w:ascii="仿宋_GB2312" w:hAnsi="仿宋" w:eastAsia="仿宋_GB2312"/>
          <w:b/>
          <w:sz w:val="28"/>
          <w:szCs w:val="28"/>
        </w:rPr>
        <w:t>第七条</w:t>
      </w:r>
      <w:r>
        <w:rPr>
          <w:rFonts w:hint="eastAsia" w:ascii="仿宋_GB2312" w:hAnsi="仿宋" w:eastAsia="仿宋_GB2312"/>
          <w:sz w:val="28"/>
          <w:szCs w:val="28"/>
        </w:rPr>
        <w:t xml:space="preserve"> 双方确定，按以下标准和方式对乙方提交的技术服务工作成果进行验收。</w:t>
      </w:r>
    </w:p>
    <w:p w14:paraId="1654197E">
      <w:pPr>
        <w:spacing w:line="520" w:lineRule="exact"/>
        <w:ind w:firstLine="560" w:firstLineChars="200"/>
        <w:rPr>
          <w:rFonts w:ascii="仿宋_GB2312" w:hAnsi="仿宋" w:eastAsia="仿宋_GB2312"/>
          <w:sz w:val="28"/>
          <w:szCs w:val="28"/>
        </w:rPr>
      </w:pPr>
      <w:r>
        <w:rPr>
          <w:rFonts w:hint="eastAsia" w:ascii="仿宋_GB2312" w:hAnsi="仿宋" w:eastAsia="仿宋_GB2312"/>
          <w:sz w:val="28"/>
          <w:szCs w:val="28"/>
        </w:rPr>
        <w:t>1、乙方提交技术服务工作成果的形式：</w:t>
      </w:r>
      <w:r>
        <w:rPr>
          <w:rFonts w:hint="eastAsia" w:ascii="仿宋_GB2312" w:hAnsi="仿宋_GB2312" w:eastAsia="仿宋_GB2312" w:cs="仿宋_GB2312"/>
          <w:bCs/>
          <w:sz w:val="28"/>
          <w:szCs w:val="28"/>
          <w:u w:val="single"/>
        </w:rPr>
        <w:t>出具</w:t>
      </w:r>
      <w:r>
        <w:rPr>
          <w:rFonts w:hint="eastAsia" w:ascii="仿宋_GB2312" w:hAnsi="仿宋" w:eastAsia="仿宋_GB2312"/>
          <w:sz w:val="28"/>
          <w:szCs w:val="28"/>
          <w:u w:val="single"/>
        </w:rPr>
        <w:t>山东济钢环保新材料有限公司</w:t>
      </w:r>
      <w:r>
        <w:rPr>
          <w:rFonts w:hint="eastAsia" w:ascii="仿宋_GB2312" w:hAnsi="仿宋" w:eastAsia="仿宋_GB2312"/>
          <w:sz w:val="28"/>
          <w:szCs w:val="28"/>
          <w:u w:val="single"/>
          <w:lang w:val="en-US" w:eastAsia="zh-CN"/>
        </w:rPr>
        <w:t>安全生产诊断报告及</w:t>
      </w:r>
      <w:r>
        <w:rPr>
          <w:rFonts w:hint="eastAsia" w:ascii="仿宋_GB2312" w:hAnsi="仿宋_GB2312" w:eastAsia="仿宋_GB2312" w:cs="仿宋_GB2312"/>
          <w:bCs/>
          <w:sz w:val="28"/>
          <w:szCs w:val="28"/>
          <w:u w:val="single"/>
        </w:rPr>
        <w:t>安全现状评价报告。</w:t>
      </w:r>
    </w:p>
    <w:p w14:paraId="01CD440F">
      <w:pPr>
        <w:spacing w:line="520" w:lineRule="exact"/>
        <w:ind w:firstLine="560" w:firstLineChars="200"/>
        <w:rPr>
          <w:rFonts w:ascii="仿宋_GB2312" w:hAnsi="仿宋" w:eastAsia="仿宋_GB2312"/>
          <w:sz w:val="28"/>
          <w:szCs w:val="28"/>
        </w:rPr>
      </w:pPr>
      <w:r>
        <w:rPr>
          <w:rFonts w:hint="eastAsia" w:ascii="仿宋_GB2312" w:hAnsi="仿宋" w:eastAsia="仿宋_GB2312"/>
          <w:sz w:val="28"/>
          <w:szCs w:val="28"/>
        </w:rPr>
        <w:t>2、技术服务工作成果的编制标准：</w:t>
      </w:r>
      <w:r>
        <w:rPr>
          <w:rFonts w:hint="eastAsia" w:ascii="仿宋_GB2312" w:hAnsi="仿宋_GB2312" w:eastAsia="仿宋_GB2312" w:cs="仿宋_GB2312"/>
          <w:bCs/>
          <w:sz w:val="28"/>
          <w:szCs w:val="28"/>
          <w:u w:val="single"/>
        </w:rPr>
        <w:t>国家、省、市、区（县）有</w:t>
      </w:r>
      <w:r>
        <w:rPr>
          <w:rFonts w:hint="eastAsia" w:ascii="仿宋_GB2312" w:hAnsi="仿宋_GB2312" w:eastAsia="仿宋_GB2312" w:cs="仿宋_GB2312"/>
          <w:bCs/>
          <w:sz w:val="28"/>
          <w:szCs w:val="28"/>
          <w:u w:val="single"/>
          <w:lang w:eastAsia="zh-CN"/>
        </w:rPr>
        <w:t>金属非金属露天</w:t>
      </w:r>
      <w:r>
        <w:rPr>
          <w:rFonts w:hint="eastAsia" w:ascii="仿宋_GB2312" w:hAnsi="仿宋_GB2312" w:eastAsia="仿宋_GB2312" w:cs="仿宋_GB2312"/>
          <w:bCs/>
          <w:sz w:val="28"/>
          <w:szCs w:val="28"/>
          <w:u w:val="single"/>
        </w:rPr>
        <w:t>矿山安全现状评价的法律、法规及技术标准等</w:t>
      </w:r>
      <w:r>
        <w:rPr>
          <w:rFonts w:hint="eastAsia" w:ascii="仿宋_GB2312" w:hAnsi="仿宋" w:eastAsia="仿宋_GB2312"/>
          <w:sz w:val="28"/>
          <w:szCs w:val="28"/>
        </w:rPr>
        <w:t>。</w:t>
      </w:r>
    </w:p>
    <w:p w14:paraId="453E3F67">
      <w:pPr>
        <w:spacing w:line="520" w:lineRule="exact"/>
        <w:ind w:firstLine="560" w:firstLineChars="200"/>
        <w:rPr>
          <w:rFonts w:ascii="仿宋_GB2312" w:hAnsi="仿宋" w:eastAsia="仿宋_GB2312"/>
          <w:sz w:val="28"/>
          <w:szCs w:val="28"/>
        </w:rPr>
      </w:pPr>
      <w:r>
        <w:rPr>
          <w:rFonts w:hint="eastAsia" w:ascii="仿宋_GB2312" w:hAnsi="仿宋" w:eastAsia="仿宋_GB2312"/>
          <w:sz w:val="28"/>
          <w:szCs w:val="28"/>
        </w:rPr>
        <w:t>3、技术服务工作成果的验收标准：</w:t>
      </w:r>
      <w:r>
        <w:rPr>
          <w:rFonts w:hint="eastAsia" w:ascii="仿宋_GB2312" w:hAnsi="仿宋_GB2312" w:eastAsia="仿宋_GB2312" w:cs="仿宋_GB2312"/>
          <w:sz w:val="28"/>
          <w:szCs w:val="28"/>
          <w:u w:val="single"/>
        </w:rPr>
        <w:t>以乙方提交的报告符合</w:t>
      </w:r>
      <w:r>
        <w:rPr>
          <w:rFonts w:hint="eastAsia" w:ascii="仿宋_GB2312" w:hAnsi="仿宋" w:eastAsia="仿宋_GB2312"/>
          <w:sz w:val="28"/>
          <w:szCs w:val="28"/>
          <w:u w:val="single"/>
        </w:rPr>
        <w:t>山东济钢环保新材料有限公司</w:t>
      </w:r>
      <w:r>
        <w:rPr>
          <w:rFonts w:hint="eastAsia" w:ascii="仿宋_GB2312" w:hAnsi="仿宋_GB2312" w:eastAsia="仿宋_GB2312" w:cs="仿宋_GB2312"/>
          <w:bCs/>
          <w:sz w:val="28"/>
          <w:szCs w:val="28"/>
          <w:u w:val="single"/>
        </w:rPr>
        <w:t>安全现状评价报告</w:t>
      </w:r>
      <w:r>
        <w:rPr>
          <w:rFonts w:hint="eastAsia" w:ascii="仿宋_GB2312" w:hAnsi="仿宋" w:eastAsia="仿宋_GB2312"/>
          <w:sz w:val="28"/>
          <w:szCs w:val="28"/>
          <w:u w:val="single"/>
        </w:rPr>
        <w:t>，并最终通过评审为标准</w:t>
      </w:r>
      <w:r>
        <w:rPr>
          <w:rFonts w:hint="eastAsia" w:ascii="仿宋_GB2312" w:hAnsi="仿宋" w:eastAsia="仿宋_GB2312"/>
          <w:sz w:val="28"/>
          <w:szCs w:val="28"/>
        </w:rPr>
        <w:t>。</w:t>
      </w:r>
    </w:p>
    <w:p w14:paraId="009C1F37">
      <w:pPr>
        <w:spacing w:line="520" w:lineRule="exact"/>
        <w:ind w:firstLine="560" w:firstLineChars="200"/>
        <w:rPr>
          <w:rFonts w:ascii="仿宋_GB2312" w:hAnsi="仿宋" w:eastAsia="仿宋_GB2312"/>
          <w:sz w:val="28"/>
          <w:szCs w:val="28"/>
        </w:rPr>
      </w:pPr>
      <w:r>
        <w:rPr>
          <w:rFonts w:hint="eastAsia" w:ascii="仿宋_GB2312" w:hAnsi="仿宋" w:eastAsia="仿宋_GB2312"/>
          <w:sz w:val="28"/>
          <w:szCs w:val="28"/>
        </w:rPr>
        <w:t>4、验收的时间和地点：</w:t>
      </w:r>
      <w:r>
        <w:rPr>
          <w:rFonts w:hint="eastAsia" w:ascii="仿宋_GB2312" w:hAnsi="仿宋" w:eastAsia="仿宋_GB2312"/>
          <w:sz w:val="28"/>
          <w:szCs w:val="28"/>
          <w:u w:val="single"/>
        </w:rPr>
        <w:t>山东济钢环保新材料有限公司</w:t>
      </w:r>
      <w:r>
        <w:rPr>
          <w:rFonts w:hint="eastAsia" w:ascii="仿宋_GB2312" w:hAnsi="仿宋_GB2312" w:eastAsia="仿宋_GB2312" w:cs="仿宋_GB2312"/>
          <w:sz w:val="28"/>
          <w:szCs w:val="28"/>
        </w:rPr>
        <w:t xml:space="preserve"> 。</w:t>
      </w:r>
    </w:p>
    <w:p w14:paraId="5FAA3C8E">
      <w:pPr>
        <w:spacing w:line="520" w:lineRule="exact"/>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 xml:space="preserve">  第八条</w:t>
      </w:r>
      <w:r>
        <w:rPr>
          <w:rFonts w:hint="eastAsia" w:ascii="仿宋_GB2312" w:hAnsi="仿宋" w:eastAsia="仿宋_GB2312"/>
          <w:sz w:val="28"/>
          <w:szCs w:val="28"/>
        </w:rPr>
        <w:t xml:space="preserve"> 双方责任及违约</w:t>
      </w:r>
    </w:p>
    <w:p w14:paraId="724A96A7">
      <w:pPr>
        <w:spacing w:line="520" w:lineRule="exact"/>
        <w:ind w:firstLine="645"/>
        <w:rPr>
          <w:rFonts w:ascii="仿宋_GB2312" w:hAnsi="仿宋" w:eastAsia="仿宋_GB2312"/>
          <w:sz w:val="28"/>
          <w:szCs w:val="28"/>
        </w:rPr>
      </w:pPr>
      <w:r>
        <w:rPr>
          <w:rFonts w:hint="eastAsia" w:ascii="仿宋_GB2312" w:hAnsi="仿宋" w:eastAsia="仿宋_GB2312"/>
          <w:sz w:val="28"/>
          <w:szCs w:val="28"/>
        </w:rPr>
        <w:t>1、甲方责任及违约</w:t>
      </w:r>
    </w:p>
    <w:p w14:paraId="6BDAE83B">
      <w:pPr>
        <w:spacing w:line="520" w:lineRule="exact"/>
        <w:ind w:firstLine="645"/>
        <w:rPr>
          <w:rFonts w:ascii="仿宋_GB2312" w:hAnsi="仿宋" w:eastAsia="仿宋_GB2312"/>
          <w:sz w:val="28"/>
          <w:szCs w:val="28"/>
        </w:rPr>
      </w:pPr>
      <w:r>
        <w:rPr>
          <w:rFonts w:hint="eastAsia" w:ascii="仿宋_GB2312" w:hAnsi="仿宋" w:eastAsia="仿宋_GB2312"/>
          <w:sz w:val="28"/>
          <w:szCs w:val="28"/>
        </w:rPr>
        <w:t>（1）甲方需按本合同规定的内容向乙方提交基础资料及文件，并对其完整性、正确性及时限负责。</w:t>
      </w:r>
    </w:p>
    <w:p w14:paraId="2FD173BC">
      <w:pPr>
        <w:spacing w:line="520" w:lineRule="exact"/>
        <w:ind w:firstLine="645"/>
        <w:rPr>
          <w:rFonts w:ascii="仿宋_GB2312" w:hAnsi="仿宋" w:eastAsia="仿宋_GB2312"/>
          <w:sz w:val="28"/>
          <w:szCs w:val="28"/>
        </w:rPr>
      </w:pPr>
      <w:r>
        <w:rPr>
          <w:rFonts w:hint="eastAsia" w:ascii="仿宋_GB2312" w:hAnsi="仿宋" w:eastAsia="仿宋_GB2312"/>
          <w:sz w:val="28"/>
          <w:szCs w:val="28"/>
        </w:rPr>
        <w:t>（2）甲方变更委托服务项目、规模、条件或因提交的资料错误，或所提交资料作较大修改，以致造成乙方无法在合同约定期限内提交服务成果时，双方可另行协商签订补充协议。</w:t>
      </w:r>
    </w:p>
    <w:p w14:paraId="11E7E2A2">
      <w:pPr>
        <w:spacing w:line="520" w:lineRule="exact"/>
        <w:ind w:firstLine="645"/>
        <w:rPr>
          <w:rFonts w:ascii="仿宋_GB2312" w:hAnsi="仿宋" w:eastAsia="仿宋_GB2312"/>
          <w:sz w:val="28"/>
          <w:szCs w:val="28"/>
        </w:rPr>
      </w:pPr>
      <w:r>
        <w:rPr>
          <w:rFonts w:hint="eastAsia" w:ascii="仿宋_GB2312" w:hAnsi="仿宋" w:eastAsia="仿宋_GB2312"/>
          <w:sz w:val="28"/>
          <w:szCs w:val="28"/>
        </w:rPr>
        <w:t>（3）在合同履行期间，因甲方自身原因提出终止或解除合同，已开始服务工作的，甲方应根据乙方已进行的实际工作量支付服务费。</w:t>
      </w:r>
    </w:p>
    <w:p w14:paraId="7A9BE125">
      <w:pPr>
        <w:spacing w:line="520" w:lineRule="exact"/>
        <w:ind w:firstLine="645"/>
        <w:rPr>
          <w:rFonts w:ascii="仿宋_GB2312" w:hAnsi="仿宋" w:eastAsia="仿宋_GB2312"/>
          <w:sz w:val="28"/>
          <w:szCs w:val="28"/>
        </w:rPr>
      </w:pPr>
      <w:r>
        <w:rPr>
          <w:rFonts w:hint="eastAsia" w:ascii="仿宋_GB2312" w:hAnsi="仿宋" w:eastAsia="仿宋_GB2312"/>
          <w:sz w:val="28"/>
          <w:szCs w:val="28"/>
        </w:rPr>
        <w:t>（4）甲方应按本合同规定的金额和日期向乙方支付服务费，每逾期支付一天，应承按照同期银行间同业拆借利率支付违约金，且乙方提交服务成果的时间相应顺延。</w:t>
      </w:r>
    </w:p>
    <w:p w14:paraId="5BE7C152">
      <w:pPr>
        <w:spacing w:line="520" w:lineRule="exact"/>
        <w:ind w:firstLine="645"/>
        <w:rPr>
          <w:rFonts w:ascii="仿宋_GB2312" w:hAnsi="仿宋" w:eastAsia="仿宋_GB2312"/>
          <w:sz w:val="28"/>
          <w:szCs w:val="28"/>
        </w:rPr>
      </w:pPr>
      <w:r>
        <w:rPr>
          <w:rFonts w:hint="eastAsia" w:ascii="仿宋_GB2312" w:hAnsi="仿宋" w:eastAsia="仿宋_GB2312"/>
          <w:sz w:val="28"/>
          <w:szCs w:val="28"/>
        </w:rPr>
        <w:t>（5）甲方要求乙方比合同规定时间提前交付服务成果时，须征得乙方同意，不得严重背离合理服务期。</w:t>
      </w:r>
    </w:p>
    <w:p w14:paraId="5B95CBD8">
      <w:pPr>
        <w:spacing w:line="520" w:lineRule="exact"/>
        <w:ind w:firstLine="645"/>
        <w:rPr>
          <w:rFonts w:ascii="仿宋_GB2312" w:hAnsi="仿宋" w:eastAsia="仿宋_GB2312"/>
          <w:sz w:val="28"/>
          <w:szCs w:val="28"/>
        </w:rPr>
      </w:pPr>
      <w:r>
        <w:rPr>
          <w:rFonts w:hint="eastAsia" w:ascii="仿宋_GB2312" w:hAnsi="仿宋" w:eastAsia="仿宋_GB2312"/>
          <w:sz w:val="28"/>
          <w:szCs w:val="28"/>
        </w:rPr>
        <w:t>（6）甲方应为乙方派驻现场的工作人员提供工作、生活方面的便利条件及必要的劳动保护装备。</w:t>
      </w:r>
    </w:p>
    <w:p w14:paraId="6F7FB3C0">
      <w:pPr>
        <w:spacing w:line="520" w:lineRule="exact"/>
        <w:ind w:firstLine="560" w:firstLineChars="200"/>
        <w:rPr>
          <w:rFonts w:ascii="仿宋_GB2312" w:hAnsi="仿宋" w:eastAsia="仿宋_GB2312"/>
          <w:sz w:val="28"/>
          <w:szCs w:val="28"/>
        </w:rPr>
      </w:pPr>
      <w:r>
        <w:rPr>
          <w:rFonts w:hint="eastAsia" w:ascii="仿宋_GB2312" w:hAnsi="仿宋" w:eastAsia="仿宋_GB2312"/>
          <w:sz w:val="28"/>
          <w:szCs w:val="28"/>
        </w:rPr>
        <w:t>2、乙方责任及违约</w:t>
      </w:r>
    </w:p>
    <w:p w14:paraId="283BE576">
      <w:pPr>
        <w:spacing w:line="520" w:lineRule="exact"/>
        <w:ind w:firstLine="645"/>
        <w:rPr>
          <w:rFonts w:ascii="仿宋_GB2312" w:hAnsi="仿宋" w:eastAsia="仿宋_GB2312"/>
          <w:sz w:val="28"/>
          <w:szCs w:val="28"/>
        </w:rPr>
      </w:pPr>
      <w:r>
        <w:rPr>
          <w:rFonts w:hint="eastAsia" w:ascii="仿宋_GB2312" w:hAnsi="仿宋" w:eastAsia="仿宋_GB2312"/>
          <w:sz w:val="28"/>
          <w:szCs w:val="28"/>
        </w:rPr>
        <w:t>（1）乙方应按国家规定和合同约定的技术规范、标准提供服务，应按本合同约定的内容、时间及份数向甲方交付服务成果，并对提交的服务成果的质量负责。</w:t>
      </w:r>
    </w:p>
    <w:p w14:paraId="5118E7A2">
      <w:pPr>
        <w:spacing w:line="520" w:lineRule="exact"/>
        <w:ind w:firstLine="645"/>
        <w:rPr>
          <w:rFonts w:ascii="仿宋_GB2312" w:hAnsi="仿宋" w:eastAsia="仿宋_GB2312"/>
          <w:sz w:val="28"/>
          <w:szCs w:val="28"/>
        </w:rPr>
      </w:pPr>
      <w:r>
        <w:rPr>
          <w:rFonts w:hint="eastAsia" w:ascii="仿宋_GB2312" w:hAnsi="仿宋" w:eastAsia="仿宋_GB2312"/>
          <w:sz w:val="28"/>
          <w:szCs w:val="28"/>
        </w:rPr>
        <w:t>（2）乙方对服务成果出现的遗漏或错误负责修改或补充。由于乙方服务成果出现错误造成甲方损失的，乙方除负责采取补救措施外，应免收或退还损失部分的服务费，并赔偿甲方的实际损失。</w:t>
      </w:r>
    </w:p>
    <w:p w14:paraId="7381EFCA">
      <w:pPr>
        <w:spacing w:line="520" w:lineRule="exact"/>
        <w:ind w:firstLine="645"/>
        <w:rPr>
          <w:rFonts w:hint="default" w:ascii="仿宋_GB2312" w:hAnsi="仿宋" w:eastAsia="仿宋_GB2312"/>
          <w:sz w:val="28"/>
          <w:szCs w:val="28"/>
          <w:lang w:val="en-US" w:eastAsia="zh-CN"/>
        </w:rPr>
      </w:pPr>
      <w:r>
        <w:rPr>
          <w:rFonts w:hint="eastAsia" w:ascii="仿宋_GB2312" w:hAnsi="仿宋" w:eastAsia="仿宋_GB2312"/>
          <w:sz w:val="28"/>
          <w:szCs w:val="28"/>
        </w:rPr>
        <w:t>（3）由于乙方原因，延误了服务成果交付时间，逾期未超过</w:t>
      </w:r>
      <w:r>
        <w:rPr>
          <w:rFonts w:ascii="仿宋_GB2312" w:hAnsi="仿宋" w:eastAsia="仿宋_GB2312"/>
          <w:sz w:val="28"/>
          <w:szCs w:val="28"/>
        </w:rPr>
        <w:t>10</w:t>
      </w:r>
      <w:r>
        <w:rPr>
          <w:rFonts w:hint="eastAsia" w:ascii="仿宋_GB2312" w:hAnsi="仿宋" w:eastAsia="仿宋_GB2312"/>
          <w:sz w:val="28"/>
          <w:szCs w:val="28"/>
        </w:rPr>
        <w:t>天的，乙方除赔偿甲方实际损失外，每延误一天，应按照本合同约定服务报酬总额的千分之三向甲方支付违约金</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不超过10天最高不超过5%；</w:t>
      </w:r>
      <w:r>
        <w:rPr>
          <w:rFonts w:hint="eastAsia" w:ascii="仿宋_GB2312" w:hAnsi="仿宋" w:eastAsia="仿宋_GB2312"/>
          <w:sz w:val="28"/>
          <w:szCs w:val="28"/>
        </w:rPr>
        <w:t>逾期超过</w:t>
      </w:r>
      <w:r>
        <w:rPr>
          <w:rFonts w:ascii="仿宋_GB2312" w:hAnsi="仿宋" w:eastAsia="仿宋_GB2312"/>
          <w:sz w:val="28"/>
          <w:szCs w:val="28"/>
        </w:rPr>
        <w:t>10</w:t>
      </w:r>
      <w:r>
        <w:rPr>
          <w:rFonts w:hint="eastAsia" w:ascii="仿宋_GB2312" w:hAnsi="仿宋" w:eastAsia="仿宋_GB2312"/>
          <w:sz w:val="28"/>
          <w:szCs w:val="28"/>
        </w:rPr>
        <w:t>天的，甲方有权解除本合同，乙方除返还全部服务费用、</w:t>
      </w:r>
      <w:r>
        <w:rPr>
          <w:rFonts w:hint="eastAsia" w:ascii="仿宋_GB2312" w:hAnsi="仿宋" w:eastAsia="仿宋_GB2312"/>
          <w:sz w:val="28"/>
          <w:szCs w:val="28"/>
          <w:lang w:val="en-US" w:eastAsia="zh-CN"/>
        </w:rPr>
        <w:t>支付</w:t>
      </w:r>
      <w:r>
        <w:rPr>
          <w:rFonts w:hint="eastAsia" w:ascii="仿宋_GB2312" w:hAnsi="仿宋" w:eastAsia="仿宋_GB2312"/>
          <w:sz w:val="28"/>
          <w:szCs w:val="28"/>
        </w:rPr>
        <w:t>甲方</w:t>
      </w:r>
      <w:r>
        <w:rPr>
          <w:rFonts w:hint="eastAsia" w:ascii="仿宋_GB2312" w:hAnsi="仿宋" w:eastAsia="仿宋_GB2312"/>
          <w:sz w:val="28"/>
          <w:szCs w:val="28"/>
          <w:lang w:val="en-US" w:eastAsia="zh-CN"/>
        </w:rPr>
        <w:t>合同总价款20%</w:t>
      </w:r>
      <w:r>
        <w:rPr>
          <w:rFonts w:hint="eastAsia" w:ascii="仿宋_GB2312" w:hAnsi="仿宋" w:eastAsia="仿宋_GB2312"/>
          <w:sz w:val="28"/>
          <w:szCs w:val="28"/>
        </w:rPr>
        <w:t>违约金</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上述违约金不足以弥补甲方实际损失的，甲方仍有权向乙方追偿。</w:t>
      </w:r>
    </w:p>
    <w:p w14:paraId="5D2BD43A">
      <w:pPr>
        <w:spacing w:line="520" w:lineRule="exact"/>
        <w:ind w:firstLine="645"/>
        <w:rPr>
          <w:rFonts w:ascii="仿宋_GB2312" w:hAnsi="仿宋" w:eastAsia="仿宋_GB2312"/>
          <w:sz w:val="28"/>
          <w:szCs w:val="28"/>
        </w:rPr>
      </w:pPr>
      <w:r>
        <w:rPr>
          <w:rFonts w:hint="eastAsia" w:ascii="仿宋_GB2312" w:hAnsi="仿宋" w:eastAsia="仿宋_GB2312"/>
          <w:sz w:val="28"/>
          <w:szCs w:val="28"/>
        </w:rPr>
        <w:t>（4）合同生效后，乙方要求终止或解除合同，</w:t>
      </w:r>
      <w:r>
        <w:rPr>
          <w:rFonts w:hint="eastAsia" w:ascii="仿宋_GB2312" w:hAnsi="仿宋" w:eastAsia="仿宋_GB2312"/>
          <w:sz w:val="28"/>
          <w:szCs w:val="28"/>
          <w:lang w:val="en-US" w:eastAsia="zh-CN"/>
        </w:rPr>
        <w:t>支付</w:t>
      </w:r>
      <w:r>
        <w:rPr>
          <w:rFonts w:hint="eastAsia" w:ascii="仿宋_GB2312" w:hAnsi="仿宋" w:eastAsia="仿宋_GB2312"/>
          <w:sz w:val="28"/>
          <w:szCs w:val="28"/>
        </w:rPr>
        <w:t>甲方</w:t>
      </w:r>
      <w:r>
        <w:rPr>
          <w:rFonts w:hint="eastAsia" w:ascii="仿宋_GB2312" w:hAnsi="仿宋" w:eastAsia="仿宋_GB2312"/>
          <w:sz w:val="28"/>
          <w:szCs w:val="28"/>
          <w:lang w:val="en-US" w:eastAsia="zh-CN"/>
        </w:rPr>
        <w:t>合同总价款20%</w:t>
      </w:r>
      <w:r>
        <w:rPr>
          <w:rFonts w:hint="eastAsia" w:ascii="仿宋_GB2312" w:hAnsi="仿宋" w:eastAsia="仿宋_GB2312"/>
          <w:sz w:val="28"/>
          <w:szCs w:val="28"/>
        </w:rPr>
        <w:t>违约金</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上述违约金不足以弥补甲方实际损失的，甲方仍有权向乙方追偿。</w:t>
      </w:r>
    </w:p>
    <w:p w14:paraId="49598404">
      <w:pPr>
        <w:spacing w:line="520" w:lineRule="exact"/>
        <w:ind w:firstLine="560" w:firstLineChars="200"/>
        <w:rPr>
          <w:rFonts w:ascii="仿宋_GB2312" w:hAnsi="仿宋" w:eastAsia="仿宋_GB2312"/>
          <w:sz w:val="28"/>
          <w:szCs w:val="28"/>
          <w:u w:val="single"/>
        </w:rPr>
      </w:pPr>
      <w:r>
        <w:rPr>
          <w:rFonts w:hint="eastAsia" w:ascii="仿宋_GB2312" w:hAnsi="仿宋" w:eastAsia="仿宋_GB2312"/>
          <w:sz w:val="28"/>
          <w:szCs w:val="28"/>
        </w:rPr>
        <w:t>（5）乙方交付服务成果后，在后期专家评审及政府主管部门组织的复核过程中，须根据审查结论负责对不超出原定范围的内容做必要修改补充。</w:t>
      </w:r>
    </w:p>
    <w:p w14:paraId="4C6D58B6">
      <w:pPr>
        <w:spacing w:line="520" w:lineRule="exact"/>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第九条</w:t>
      </w:r>
      <w:r>
        <w:rPr>
          <w:rFonts w:hint="eastAsia" w:ascii="仿宋_GB2312" w:hAnsi="仿宋" w:eastAsia="仿宋_GB2312"/>
          <w:sz w:val="28"/>
          <w:szCs w:val="28"/>
        </w:rPr>
        <w:t xml:space="preserve"> 双方确定，甲方按照乙方符合本合同约定标准和方式完成的技术服务工作成果做出决策并予以实施所造成的损失，按以下第</w:t>
      </w:r>
      <w:r>
        <w:rPr>
          <w:rFonts w:hint="eastAsia" w:ascii="仿宋_GB2312" w:hAnsi="仿宋" w:eastAsia="仿宋_GB2312"/>
          <w:sz w:val="28"/>
          <w:szCs w:val="28"/>
          <w:u w:val="single"/>
        </w:rPr>
        <w:t xml:space="preserve">  三 </w:t>
      </w:r>
      <w:r>
        <w:rPr>
          <w:rFonts w:hint="eastAsia" w:ascii="仿宋_GB2312" w:hAnsi="仿宋" w:eastAsia="仿宋_GB2312"/>
          <w:sz w:val="28"/>
          <w:szCs w:val="28"/>
        </w:rPr>
        <w:t>种方式处理：</w:t>
      </w:r>
    </w:p>
    <w:p w14:paraId="37620DC8">
      <w:pPr>
        <w:spacing w:line="520" w:lineRule="exact"/>
        <w:ind w:firstLine="560" w:firstLineChars="200"/>
        <w:rPr>
          <w:rFonts w:ascii="仿宋_GB2312" w:hAnsi="仿宋" w:eastAsia="仿宋_GB2312"/>
          <w:sz w:val="28"/>
          <w:szCs w:val="28"/>
        </w:rPr>
      </w:pPr>
      <w:r>
        <w:rPr>
          <w:rFonts w:hint="eastAsia" w:ascii="仿宋_GB2312" w:hAnsi="仿宋" w:eastAsia="仿宋_GB2312"/>
          <w:sz w:val="28"/>
          <w:szCs w:val="28"/>
        </w:rPr>
        <w:t>1、乙方不承担责任。</w:t>
      </w:r>
    </w:p>
    <w:p w14:paraId="47B2A74C">
      <w:pPr>
        <w:spacing w:line="520" w:lineRule="exact"/>
        <w:ind w:firstLine="560" w:firstLineChars="200"/>
        <w:rPr>
          <w:rFonts w:ascii="仿宋_GB2312" w:hAnsi="仿宋" w:eastAsia="仿宋_GB2312"/>
          <w:sz w:val="28"/>
          <w:szCs w:val="28"/>
        </w:rPr>
      </w:pPr>
      <w:r>
        <w:rPr>
          <w:rFonts w:hint="eastAsia" w:ascii="仿宋_GB2312" w:hAnsi="仿宋" w:eastAsia="仿宋_GB2312"/>
          <w:sz w:val="28"/>
          <w:szCs w:val="28"/>
        </w:rPr>
        <w:t>2、乙方承担部分责任，具体承担方式为</w:t>
      </w:r>
      <w:r>
        <w:rPr>
          <w:rFonts w:hint="eastAsia" w:ascii="仿宋_GB2312" w:hAnsi="仿宋" w:eastAsia="仿宋_GB2312"/>
          <w:sz w:val="28"/>
          <w:szCs w:val="28"/>
          <w:u w:val="single"/>
        </w:rPr>
        <w:t xml:space="preserve"> 双方协商确定  </w:t>
      </w:r>
      <w:r>
        <w:rPr>
          <w:rFonts w:hint="eastAsia" w:ascii="仿宋_GB2312" w:hAnsi="仿宋" w:eastAsia="仿宋_GB2312"/>
          <w:sz w:val="28"/>
          <w:szCs w:val="28"/>
        </w:rPr>
        <w:t>。</w:t>
      </w:r>
    </w:p>
    <w:p w14:paraId="43B09FE8">
      <w:pPr>
        <w:spacing w:line="520" w:lineRule="exact"/>
        <w:ind w:firstLine="618" w:firstLineChars="221"/>
        <w:rPr>
          <w:rFonts w:ascii="仿宋_GB2312" w:hAnsi="仿宋" w:eastAsia="仿宋_GB2312"/>
          <w:sz w:val="28"/>
          <w:szCs w:val="28"/>
        </w:rPr>
      </w:pPr>
      <w:r>
        <w:rPr>
          <w:rFonts w:hint="eastAsia" w:ascii="仿宋_GB2312" w:hAnsi="仿宋" w:eastAsia="仿宋_GB2312"/>
          <w:sz w:val="28"/>
          <w:szCs w:val="28"/>
        </w:rPr>
        <w:t>3、乙方承担全部责任。</w:t>
      </w:r>
    </w:p>
    <w:p w14:paraId="6B77331A">
      <w:pPr>
        <w:spacing w:line="520" w:lineRule="exact"/>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第十条</w:t>
      </w:r>
      <w:r>
        <w:rPr>
          <w:rFonts w:hint="eastAsia" w:ascii="仿宋_GB2312" w:hAnsi="仿宋" w:eastAsia="仿宋_GB2312"/>
          <w:sz w:val="28"/>
          <w:szCs w:val="28"/>
        </w:rPr>
        <w:t xml:space="preserve"> 双方确定技术成果所有权</w:t>
      </w:r>
    </w:p>
    <w:p w14:paraId="6A64E59C">
      <w:pPr>
        <w:spacing w:line="520" w:lineRule="exact"/>
        <w:ind w:firstLine="618" w:firstLineChars="221"/>
        <w:rPr>
          <w:rFonts w:ascii="仿宋_GB2312" w:hAnsi="仿宋" w:eastAsia="仿宋_GB2312"/>
          <w:sz w:val="28"/>
          <w:szCs w:val="28"/>
        </w:rPr>
      </w:pPr>
      <w:r>
        <w:rPr>
          <w:rFonts w:hint="eastAsia" w:ascii="仿宋_GB2312" w:hAnsi="仿宋" w:eastAsia="仿宋_GB2312"/>
          <w:sz w:val="28"/>
          <w:szCs w:val="28"/>
        </w:rPr>
        <w:t>1、在本合同有效期内，甲方利用乙方提交的技术服务工作成果所完成的新的技术成果，归</w:t>
      </w:r>
      <w:r>
        <w:rPr>
          <w:rFonts w:hint="eastAsia" w:ascii="仿宋_GB2312" w:hAnsi="仿宋" w:eastAsia="仿宋_GB2312"/>
          <w:sz w:val="28"/>
          <w:szCs w:val="28"/>
          <w:u w:val="single"/>
        </w:rPr>
        <w:t xml:space="preserve">  甲 </w:t>
      </w:r>
      <w:r>
        <w:rPr>
          <w:rFonts w:hint="eastAsia" w:ascii="仿宋_GB2312" w:hAnsi="仿宋" w:eastAsia="仿宋_GB2312"/>
          <w:sz w:val="28"/>
          <w:szCs w:val="28"/>
        </w:rPr>
        <w:t>方所有。</w:t>
      </w:r>
    </w:p>
    <w:p w14:paraId="2396A834">
      <w:pPr>
        <w:spacing w:line="520" w:lineRule="exact"/>
        <w:ind w:firstLine="618" w:firstLineChars="221"/>
        <w:rPr>
          <w:rFonts w:ascii="仿宋_GB2312" w:hAnsi="仿宋" w:eastAsia="仿宋_GB2312"/>
          <w:sz w:val="28"/>
          <w:szCs w:val="28"/>
        </w:rPr>
      </w:pPr>
      <w:r>
        <w:rPr>
          <w:rFonts w:hint="eastAsia" w:ascii="仿宋_GB2312" w:hAnsi="仿宋" w:eastAsia="仿宋_GB2312"/>
          <w:sz w:val="28"/>
          <w:szCs w:val="28"/>
        </w:rPr>
        <w:t>2、在本合同有效期内，乙方利用甲方提供的技术资料和工作条件所完成的新的技术成果，归</w:t>
      </w:r>
      <w:r>
        <w:rPr>
          <w:rFonts w:hint="eastAsia" w:ascii="仿宋_GB2312" w:hAnsi="仿宋" w:eastAsia="仿宋_GB2312"/>
          <w:sz w:val="28"/>
          <w:szCs w:val="28"/>
          <w:u w:val="single"/>
        </w:rPr>
        <w:t xml:space="preserve"> 双方 </w:t>
      </w:r>
      <w:r>
        <w:rPr>
          <w:rFonts w:hint="eastAsia" w:ascii="仿宋_GB2312" w:hAnsi="仿宋" w:eastAsia="仿宋_GB2312"/>
          <w:sz w:val="28"/>
          <w:szCs w:val="28"/>
        </w:rPr>
        <w:t>所有。</w:t>
      </w:r>
    </w:p>
    <w:p w14:paraId="48BD6F57">
      <w:pPr>
        <w:spacing w:line="520" w:lineRule="exact"/>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第十一条</w:t>
      </w:r>
      <w:r>
        <w:rPr>
          <w:rFonts w:hint="eastAsia" w:ascii="仿宋_GB2312" w:hAnsi="仿宋" w:eastAsia="仿宋_GB2312"/>
          <w:sz w:val="28"/>
          <w:szCs w:val="28"/>
        </w:rPr>
        <w:t xml:space="preserve"> 双方确定，在本合同有效期内，甲方指定</w:t>
      </w:r>
      <w:r>
        <w:rPr>
          <w:rFonts w:hint="eastAsia"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 xml:space="preserve">  </w:t>
      </w:r>
      <w:r>
        <w:rPr>
          <w:rFonts w:hint="eastAsia" w:ascii="仿宋_GB2312" w:hAnsi="仿宋" w:eastAsia="仿宋_GB2312"/>
          <w:sz w:val="28"/>
          <w:szCs w:val="28"/>
        </w:rPr>
        <w:t>为甲方项目联系人，乙方指定</w:t>
      </w:r>
      <w:r>
        <w:rPr>
          <w:rFonts w:hint="eastAsia"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 xml:space="preserve"> </w:t>
      </w:r>
      <w:r>
        <w:rPr>
          <w:rFonts w:hint="eastAsia" w:ascii="仿宋_GB2312" w:hAnsi="仿宋" w:eastAsia="仿宋_GB2312"/>
          <w:sz w:val="28"/>
          <w:szCs w:val="28"/>
        </w:rPr>
        <w:t>为乙方项目联系人。项目联系人承担以下责任：</w:t>
      </w:r>
    </w:p>
    <w:p w14:paraId="05F0EFC9">
      <w:pPr>
        <w:spacing w:line="520" w:lineRule="exact"/>
        <w:ind w:firstLine="618" w:firstLineChars="221"/>
        <w:rPr>
          <w:rFonts w:ascii="仿宋_GB2312" w:hAnsi="仿宋" w:eastAsia="仿宋_GB2312"/>
          <w:sz w:val="28"/>
          <w:szCs w:val="28"/>
          <w:u w:val="single"/>
        </w:rPr>
      </w:pPr>
      <w:r>
        <w:rPr>
          <w:rFonts w:hint="eastAsia" w:ascii="仿宋_GB2312" w:hAnsi="仿宋" w:eastAsia="仿宋_GB2312"/>
          <w:sz w:val="28"/>
          <w:szCs w:val="28"/>
        </w:rPr>
        <w:t>1、</w:t>
      </w:r>
      <w:r>
        <w:rPr>
          <w:rFonts w:hint="eastAsia" w:ascii="仿宋_GB2312" w:hAnsi="仿宋" w:eastAsia="仿宋_GB2312"/>
          <w:sz w:val="28"/>
          <w:szCs w:val="28"/>
          <w:u w:val="single"/>
        </w:rPr>
        <w:t xml:space="preserve">就资料提供、现场调研、检查进行沟通协调及接收对方提供的资料文书等。 </w:t>
      </w:r>
    </w:p>
    <w:p w14:paraId="364F11E9">
      <w:pPr>
        <w:spacing w:line="520" w:lineRule="exact"/>
        <w:ind w:firstLine="618" w:firstLineChars="221"/>
        <w:rPr>
          <w:rFonts w:ascii="仿宋_GB2312" w:hAnsi="仿宋" w:eastAsia="仿宋_GB2312"/>
          <w:sz w:val="28"/>
          <w:szCs w:val="28"/>
          <w:u w:val="single"/>
        </w:rPr>
      </w:pPr>
      <w:r>
        <w:rPr>
          <w:rFonts w:hint="eastAsia" w:ascii="仿宋_GB2312" w:hAnsi="仿宋" w:eastAsia="仿宋_GB2312"/>
          <w:sz w:val="28"/>
          <w:szCs w:val="28"/>
        </w:rPr>
        <w:t>2、</w:t>
      </w:r>
      <w:r>
        <w:rPr>
          <w:rFonts w:hint="eastAsia" w:ascii="仿宋_GB2312" w:hAnsi="仿宋" w:eastAsia="仿宋_GB2312"/>
          <w:sz w:val="28"/>
          <w:szCs w:val="28"/>
          <w:u w:val="single"/>
        </w:rPr>
        <w:t>及时联络对接报告编写、交付、申报、评审的进度及安排等事宜。</w:t>
      </w:r>
    </w:p>
    <w:p w14:paraId="7AD30067">
      <w:pPr>
        <w:spacing w:line="520" w:lineRule="exact"/>
        <w:ind w:firstLine="618" w:firstLineChars="221"/>
        <w:rPr>
          <w:rFonts w:ascii="仿宋_GB2312" w:hAnsi="仿宋" w:eastAsia="仿宋_GB2312"/>
          <w:sz w:val="28"/>
          <w:szCs w:val="28"/>
          <w:u w:val="single"/>
        </w:rPr>
      </w:pPr>
      <w:r>
        <w:rPr>
          <w:rFonts w:hint="eastAsia" w:ascii="仿宋_GB2312" w:hAnsi="仿宋" w:eastAsia="仿宋_GB2312"/>
          <w:sz w:val="28"/>
          <w:szCs w:val="28"/>
        </w:rPr>
        <w:t>3、</w:t>
      </w:r>
      <w:r>
        <w:rPr>
          <w:rFonts w:hint="eastAsia" w:ascii="仿宋_GB2312" w:hAnsi="仿宋" w:eastAsia="仿宋_GB2312"/>
          <w:sz w:val="28"/>
          <w:szCs w:val="28"/>
          <w:u w:val="single"/>
        </w:rPr>
        <w:t>服务报酬的支付。</w:t>
      </w:r>
    </w:p>
    <w:p w14:paraId="18403BF2">
      <w:pPr>
        <w:spacing w:line="520" w:lineRule="exact"/>
        <w:rPr>
          <w:rFonts w:ascii="仿宋_GB2312" w:hAnsi="仿宋" w:eastAsia="仿宋_GB2312"/>
          <w:sz w:val="28"/>
          <w:szCs w:val="28"/>
        </w:rPr>
      </w:pPr>
      <w:r>
        <w:rPr>
          <w:rFonts w:hint="eastAsia" w:ascii="仿宋_GB2312" w:hAnsi="仿宋" w:eastAsia="仿宋_GB2312"/>
          <w:sz w:val="28"/>
          <w:szCs w:val="28"/>
        </w:rPr>
        <w:t xml:space="preserve">    一方变更项目联系人的，应当及时以书面形式通知另一方。未及时通知并影响本合同履行或造成损失的，应承担相应的责任。</w:t>
      </w:r>
    </w:p>
    <w:p w14:paraId="02342C0D">
      <w:pPr>
        <w:spacing w:line="520" w:lineRule="exact"/>
        <w:ind w:firstLine="562" w:firstLineChars="200"/>
        <w:rPr>
          <w:rFonts w:ascii="仿宋_GB2312" w:hAnsi="仿宋" w:eastAsia="仿宋_GB2312"/>
          <w:sz w:val="28"/>
          <w:szCs w:val="28"/>
        </w:rPr>
      </w:pPr>
      <w:r>
        <w:rPr>
          <w:rFonts w:hint="eastAsia" w:ascii="仿宋_GB2312" w:hAnsi="仿宋" w:eastAsia="仿宋_GB2312"/>
          <w:b/>
          <w:sz w:val="28"/>
          <w:szCs w:val="28"/>
        </w:rPr>
        <w:t>第十二条</w:t>
      </w:r>
      <w:r>
        <w:rPr>
          <w:rFonts w:hint="eastAsia" w:ascii="仿宋_GB2312" w:hAnsi="仿宋" w:eastAsia="仿宋_GB2312"/>
          <w:sz w:val="28"/>
          <w:szCs w:val="28"/>
        </w:rPr>
        <w:t xml:space="preserve"> 双方确定，出现下列情形，致使本合同的履行成为不必要或不可能的，可以解除本合同：</w:t>
      </w:r>
    </w:p>
    <w:p w14:paraId="125DD74D">
      <w:pPr>
        <w:spacing w:line="520" w:lineRule="exact"/>
        <w:ind w:firstLine="618" w:firstLineChars="221"/>
        <w:rPr>
          <w:rFonts w:ascii="仿宋_GB2312" w:hAnsi="仿宋" w:eastAsia="仿宋_GB2312"/>
          <w:sz w:val="28"/>
          <w:szCs w:val="28"/>
          <w:u w:val="single"/>
        </w:rPr>
      </w:pPr>
      <w:r>
        <w:rPr>
          <w:rFonts w:hint="eastAsia" w:ascii="仿宋_GB2312" w:hAnsi="仿宋" w:eastAsia="仿宋_GB2312"/>
          <w:sz w:val="28"/>
          <w:szCs w:val="28"/>
        </w:rPr>
        <w:t>1、发生不可抗力；</w:t>
      </w:r>
    </w:p>
    <w:p w14:paraId="33FC60A9">
      <w:pPr>
        <w:spacing w:line="520" w:lineRule="exact"/>
        <w:ind w:firstLine="618" w:firstLineChars="221"/>
        <w:rPr>
          <w:rFonts w:ascii="仿宋_GB2312" w:hAnsi="仿宋" w:eastAsia="仿宋_GB2312"/>
          <w:sz w:val="28"/>
          <w:szCs w:val="28"/>
        </w:rPr>
      </w:pPr>
      <w:r>
        <w:rPr>
          <w:rFonts w:hint="eastAsia" w:ascii="仿宋_GB2312" w:hAnsi="仿宋" w:eastAsia="仿宋_GB2312"/>
          <w:sz w:val="28"/>
          <w:szCs w:val="28"/>
        </w:rPr>
        <w:t>2、经双方协商同意解除 。</w:t>
      </w:r>
    </w:p>
    <w:p w14:paraId="2F54DD9B">
      <w:pPr>
        <w:spacing w:line="520" w:lineRule="exact"/>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第十三条</w:t>
      </w:r>
      <w:r>
        <w:rPr>
          <w:rFonts w:hint="eastAsia" w:ascii="仿宋_GB2312" w:hAnsi="仿宋" w:eastAsia="仿宋_GB2312"/>
          <w:sz w:val="28"/>
          <w:szCs w:val="28"/>
        </w:rPr>
        <w:t xml:space="preserve"> 双方因履行本合同而发生的争议，应协商、调解解决。协商、调解不成的，依法向服务项目所在地</w:t>
      </w:r>
      <w:r>
        <w:rPr>
          <w:rFonts w:hint="eastAsia" w:ascii="仿宋_GB2312" w:hAnsi="仿宋" w:eastAsia="仿宋_GB2312"/>
          <w:sz w:val="28"/>
          <w:szCs w:val="28"/>
          <w:u w:val="single"/>
        </w:rPr>
        <w:t>章丘区人民法院</w:t>
      </w:r>
      <w:r>
        <w:rPr>
          <w:rFonts w:hint="eastAsia" w:ascii="仿宋_GB2312" w:hAnsi="仿宋" w:eastAsia="仿宋_GB2312"/>
          <w:sz w:val="28"/>
          <w:szCs w:val="28"/>
        </w:rPr>
        <w:t>起诉。</w:t>
      </w:r>
    </w:p>
    <w:p w14:paraId="40162843">
      <w:pPr>
        <w:spacing w:line="520" w:lineRule="exact"/>
        <w:rPr>
          <w:rFonts w:ascii="仿宋_GB2312" w:hAnsi="仿宋" w:eastAsia="仿宋_GB2312"/>
          <w:sz w:val="28"/>
          <w:szCs w:val="28"/>
          <w:u w:val="single"/>
        </w:rPr>
      </w:pPr>
      <w:r>
        <w:rPr>
          <w:rFonts w:hint="eastAsia" w:ascii="仿宋_GB2312" w:hAnsi="仿宋" w:eastAsia="仿宋_GB2312"/>
          <w:sz w:val="28"/>
          <w:szCs w:val="28"/>
        </w:rPr>
        <w:t xml:space="preserve">    </w:t>
      </w:r>
      <w:r>
        <w:rPr>
          <w:rFonts w:hint="eastAsia" w:ascii="仿宋_GB2312" w:hAnsi="仿宋" w:eastAsia="仿宋_GB2312"/>
          <w:b/>
          <w:sz w:val="28"/>
          <w:szCs w:val="28"/>
        </w:rPr>
        <w:t>第十四条</w:t>
      </w:r>
      <w:r>
        <w:rPr>
          <w:rFonts w:hint="eastAsia" w:ascii="仿宋_GB2312" w:hAnsi="仿宋" w:eastAsia="仿宋_GB2312"/>
          <w:sz w:val="28"/>
          <w:szCs w:val="28"/>
        </w:rPr>
        <w:t xml:space="preserve"> 双方确定：本合同及相关附件中所涉及的有关名词和技术术语，其定义和解释如下：</w:t>
      </w:r>
      <w:r>
        <w:rPr>
          <w:rFonts w:hint="eastAsia" w:ascii="仿宋_GB2312" w:hAnsi="仿宋" w:eastAsia="仿宋_GB2312"/>
          <w:sz w:val="28"/>
          <w:szCs w:val="28"/>
          <w:u w:val="single"/>
        </w:rPr>
        <w:t xml:space="preserve">     无        </w:t>
      </w:r>
    </w:p>
    <w:p w14:paraId="179CB08D">
      <w:pPr>
        <w:spacing w:line="520" w:lineRule="exact"/>
        <w:ind w:firstLine="562" w:firstLineChars="200"/>
        <w:rPr>
          <w:rFonts w:ascii="仿宋_GB2312" w:hAnsi="仿宋" w:eastAsia="仿宋_GB2312"/>
          <w:sz w:val="28"/>
          <w:szCs w:val="28"/>
        </w:rPr>
      </w:pPr>
      <w:r>
        <w:rPr>
          <w:rFonts w:hint="eastAsia" w:ascii="仿宋_GB2312" w:hAnsi="仿宋" w:eastAsia="仿宋_GB2312"/>
          <w:b/>
          <w:sz w:val="28"/>
          <w:szCs w:val="28"/>
        </w:rPr>
        <w:t>第十五条</w:t>
      </w:r>
      <w:r>
        <w:rPr>
          <w:rFonts w:hint="eastAsia" w:ascii="仿宋_GB2312" w:hAnsi="仿宋" w:eastAsia="仿宋_GB2312"/>
          <w:sz w:val="28"/>
          <w:szCs w:val="28"/>
        </w:rPr>
        <w:t xml:space="preserve"> 与履行本合同有关的下列技术文件，按照下列分工由双方各自提供或编写：</w:t>
      </w:r>
    </w:p>
    <w:p w14:paraId="4AE52D17">
      <w:pPr>
        <w:spacing w:line="520" w:lineRule="exact"/>
        <w:ind w:firstLine="618" w:firstLineChars="221"/>
        <w:jc w:val="left"/>
        <w:rPr>
          <w:rFonts w:ascii="仿宋_GB2312" w:hAnsi="仿宋" w:eastAsia="仿宋_GB2312"/>
          <w:sz w:val="28"/>
          <w:szCs w:val="28"/>
        </w:rPr>
      </w:pPr>
      <w:r>
        <w:rPr>
          <w:rFonts w:hint="eastAsia" w:ascii="仿宋_GB2312" w:hAnsi="仿宋" w:eastAsia="仿宋_GB2312"/>
          <w:sz w:val="28"/>
          <w:szCs w:val="28"/>
        </w:rPr>
        <w:t>1、技术背景资料：</w:t>
      </w:r>
      <w:r>
        <w:rPr>
          <w:rFonts w:hint="eastAsia" w:ascii="仿宋_GB2312" w:hAnsi="仿宋" w:eastAsia="仿宋_GB2312"/>
          <w:sz w:val="28"/>
          <w:szCs w:val="28"/>
          <w:u w:val="single"/>
        </w:rPr>
        <w:t xml:space="preserve"> 甲方提供 </w:t>
      </w:r>
      <w:r>
        <w:rPr>
          <w:rFonts w:hint="eastAsia" w:ascii="仿宋_GB2312" w:hAnsi="仿宋" w:eastAsia="仿宋_GB2312"/>
          <w:sz w:val="28"/>
          <w:szCs w:val="28"/>
        </w:rPr>
        <w:t>；</w:t>
      </w:r>
    </w:p>
    <w:p w14:paraId="528E9269">
      <w:pPr>
        <w:spacing w:line="520" w:lineRule="exact"/>
        <w:ind w:firstLine="618" w:firstLineChars="221"/>
        <w:jc w:val="left"/>
        <w:rPr>
          <w:rFonts w:ascii="仿宋_GB2312" w:hAnsi="仿宋" w:eastAsia="仿宋_GB2312"/>
          <w:sz w:val="28"/>
          <w:szCs w:val="28"/>
        </w:rPr>
      </w:pPr>
      <w:r>
        <w:rPr>
          <w:rFonts w:hint="eastAsia" w:ascii="仿宋_GB2312" w:hAnsi="仿宋" w:eastAsia="仿宋_GB2312"/>
          <w:sz w:val="28"/>
          <w:szCs w:val="28"/>
        </w:rPr>
        <w:t>2、可行性论证报告：</w:t>
      </w:r>
      <w:r>
        <w:rPr>
          <w:rFonts w:hint="eastAsia" w:ascii="仿宋_GB2312" w:hAnsi="仿宋" w:eastAsia="仿宋_GB2312"/>
          <w:sz w:val="28"/>
          <w:szCs w:val="28"/>
          <w:u w:val="single"/>
        </w:rPr>
        <w:t xml:space="preserve"> 甲方提供 </w:t>
      </w:r>
      <w:r>
        <w:rPr>
          <w:rFonts w:hint="eastAsia" w:ascii="仿宋_GB2312" w:hAnsi="仿宋" w:eastAsia="仿宋_GB2312"/>
          <w:sz w:val="28"/>
          <w:szCs w:val="28"/>
        </w:rPr>
        <w:t>；</w:t>
      </w:r>
    </w:p>
    <w:p w14:paraId="170AEBC2">
      <w:pPr>
        <w:spacing w:line="520" w:lineRule="exact"/>
        <w:ind w:firstLine="618" w:firstLineChars="221"/>
        <w:jc w:val="left"/>
        <w:rPr>
          <w:rFonts w:ascii="仿宋_GB2312" w:hAnsi="仿宋" w:eastAsia="仿宋_GB2312"/>
          <w:sz w:val="28"/>
          <w:szCs w:val="28"/>
        </w:rPr>
      </w:pPr>
      <w:r>
        <w:rPr>
          <w:rFonts w:hint="eastAsia" w:ascii="仿宋_GB2312" w:hAnsi="仿宋" w:eastAsia="仿宋_GB2312"/>
          <w:sz w:val="28"/>
          <w:szCs w:val="28"/>
        </w:rPr>
        <w:t xml:space="preserve">3、技术评价报告： </w:t>
      </w:r>
      <w:r>
        <w:rPr>
          <w:rFonts w:hint="eastAsia" w:ascii="仿宋_GB2312" w:hAnsi="仿宋" w:eastAsia="仿宋_GB2312"/>
          <w:sz w:val="28"/>
          <w:szCs w:val="28"/>
          <w:u w:val="single"/>
        </w:rPr>
        <w:t xml:space="preserve">乙方提供 </w:t>
      </w:r>
      <w:r>
        <w:rPr>
          <w:rFonts w:hint="eastAsia" w:ascii="仿宋_GB2312" w:hAnsi="仿宋" w:eastAsia="仿宋_GB2312"/>
          <w:sz w:val="28"/>
          <w:szCs w:val="28"/>
        </w:rPr>
        <w:t>；</w:t>
      </w:r>
    </w:p>
    <w:p w14:paraId="3D95CA90">
      <w:pPr>
        <w:spacing w:line="520" w:lineRule="exact"/>
        <w:ind w:firstLine="618" w:firstLineChars="221"/>
        <w:jc w:val="left"/>
        <w:rPr>
          <w:rFonts w:ascii="仿宋_GB2312" w:hAnsi="仿宋" w:eastAsia="仿宋_GB2312"/>
          <w:sz w:val="28"/>
          <w:szCs w:val="28"/>
        </w:rPr>
      </w:pPr>
      <w:r>
        <w:rPr>
          <w:rFonts w:hint="eastAsia" w:ascii="仿宋_GB2312" w:hAnsi="仿宋" w:eastAsia="仿宋_GB2312"/>
          <w:sz w:val="28"/>
          <w:szCs w:val="28"/>
        </w:rPr>
        <w:t>4、技术标准和规范：</w:t>
      </w:r>
      <w:r>
        <w:rPr>
          <w:rFonts w:hint="eastAsia" w:ascii="仿宋_GB2312" w:hAnsi="仿宋" w:eastAsia="仿宋_GB2312"/>
          <w:sz w:val="28"/>
          <w:szCs w:val="28"/>
          <w:u w:val="single"/>
        </w:rPr>
        <w:t xml:space="preserve">乙方提供 </w:t>
      </w:r>
      <w:r>
        <w:rPr>
          <w:rFonts w:hint="eastAsia" w:ascii="仿宋_GB2312" w:hAnsi="仿宋" w:eastAsia="仿宋_GB2312"/>
          <w:sz w:val="28"/>
          <w:szCs w:val="28"/>
        </w:rPr>
        <w:t>；</w:t>
      </w:r>
    </w:p>
    <w:p w14:paraId="78C5CF07">
      <w:pPr>
        <w:spacing w:line="520" w:lineRule="exact"/>
        <w:ind w:firstLine="618" w:firstLineChars="221"/>
        <w:jc w:val="left"/>
        <w:rPr>
          <w:rFonts w:ascii="仿宋_GB2312" w:hAnsi="仿宋" w:eastAsia="仿宋_GB2312"/>
          <w:sz w:val="28"/>
          <w:szCs w:val="28"/>
        </w:rPr>
      </w:pPr>
      <w:r>
        <w:rPr>
          <w:rFonts w:hint="eastAsia" w:ascii="仿宋_GB2312" w:hAnsi="仿宋" w:eastAsia="仿宋_GB2312"/>
          <w:sz w:val="28"/>
          <w:szCs w:val="28"/>
        </w:rPr>
        <w:t>5、原始设计和工艺文件：</w:t>
      </w:r>
      <w:r>
        <w:rPr>
          <w:rFonts w:hint="eastAsia" w:ascii="仿宋_GB2312" w:hAnsi="仿宋" w:eastAsia="仿宋_GB2312"/>
          <w:sz w:val="28"/>
          <w:szCs w:val="28"/>
          <w:u w:val="single"/>
        </w:rPr>
        <w:t xml:space="preserve">甲方提供 </w:t>
      </w:r>
      <w:r>
        <w:rPr>
          <w:rFonts w:hint="eastAsia" w:ascii="仿宋_GB2312" w:hAnsi="仿宋" w:eastAsia="仿宋_GB2312"/>
          <w:sz w:val="28"/>
          <w:szCs w:val="28"/>
        </w:rPr>
        <w:t xml:space="preserve">； </w:t>
      </w:r>
    </w:p>
    <w:p w14:paraId="090B1D58">
      <w:pPr>
        <w:spacing w:line="520" w:lineRule="exact"/>
        <w:ind w:firstLine="562" w:firstLineChars="200"/>
        <w:jc w:val="left"/>
        <w:rPr>
          <w:rFonts w:ascii="仿宋_GB2312" w:hAnsi="仿宋" w:eastAsia="仿宋_GB2312"/>
          <w:sz w:val="28"/>
          <w:szCs w:val="28"/>
          <w:u w:val="single"/>
        </w:rPr>
      </w:pPr>
      <w:r>
        <w:rPr>
          <w:rFonts w:hint="eastAsia" w:ascii="仿宋_GB2312" w:hAnsi="仿宋" w:eastAsia="仿宋_GB2312"/>
          <w:b/>
          <w:sz w:val="28"/>
          <w:szCs w:val="28"/>
        </w:rPr>
        <w:t>第十六条</w:t>
      </w:r>
      <w:r>
        <w:rPr>
          <w:rFonts w:hint="eastAsia" w:ascii="仿宋_GB2312" w:hAnsi="仿宋" w:eastAsia="仿宋_GB2312"/>
          <w:sz w:val="28"/>
          <w:szCs w:val="28"/>
        </w:rPr>
        <w:t xml:space="preserve"> 双方约定本合同其他相关事项为：</w:t>
      </w:r>
      <w:r>
        <w:rPr>
          <w:rFonts w:hint="eastAsia" w:ascii="仿宋_GB2312" w:hAnsi="仿宋" w:eastAsia="仿宋_GB2312"/>
          <w:sz w:val="28"/>
          <w:szCs w:val="28"/>
          <w:u w:val="single"/>
        </w:rPr>
        <w:t xml:space="preserve">与履行本合同有关技术协议或会议纪要等相关文件，经双方以书面方式确认后，为本合同不可分割的组成部分 </w:t>
      </w:r>
      <w:r>
        <w:rPr>
          <w:rFonts w:hint="eastAsia" w:ascii="仿宋_GB2312" w:hAnsi="仿宋" w:eastAsia="仿宋_GB2312"/>
          <w:sz w:val="28"/>
          <w:szCs w:val="28"/>
        </w:rPr>
        <w:t>。</w:t>
      </w:r>
    </w:p>
    <w:p w14:paraId="02C38258">
      <w:pPr>
        <w:spacing w:line="520" w:lineRule="exact"/>
        <w:ind w:firstLine="562" w:firstLineChars="200"/>
        <w:rPr>
          <w:rFonts w:ascii="仿宋_GB2312" w:hAnsi="仿宋" w:eastAsia="仿宋_GB2312"/>
          <w:sz w:val="28"/>
          <w:szCs w:val="28"/>
        </w:rPr>
      </w:pPr>
      <w:r>
        <w:rPr>
          <w:rFonts w:hint="eastAsia" w:ascii="仿宋_GB2312" w:hAnsi="仿宋" w:eastAsia="仿宋_GB2312"/>
          <w:b/>
          <w:sz w:val="28"/>
          <w:szCs w:val="28"/>
        </w:rPr>
        <w:t>第十七条</w:t>
      </w:r>
      <w:r>
        <w:rPr>
          <w:rFonts w:hint="eastAsia" w:ascii="仿宋_GB2312" w:hAnsi="仿宋" w:eastAsia="仿宋_GB2312"/>
          <w:sz w:val="28"/>
          <w:szCs w:val="28"/>
        </w:rPr>
        <w:t xml:space="preserve"> 本合同一式</w:t>
      </w:r>
      <w:r>
        <w:rPr>
          <w:rFonts w:hint="eastAsia" w:ascii="仿宋_GB2312" w:hAnsi="仿宋" w:eastAsia="仿宋_GB2312"/>
          <w:sz w:val="28"/>
          <w:szCs w:val="28"/>
          <w:u w:val="single"/>
        </w:rPr>
        <w:t xml:space="preserve"> 陆 </w:t>
      </w:r>
      <w:r>
        <w:rPr>
          <w:rFonts w:hint="eastAsia" w:ascii="仿宋_GB2312" w:hAnsi="仿宋" w:eastAsia="仿宋_GB2312"/>
          <w:sz w:val="28"/>
          <w:szCs w:val="28"/>
        </w:rPr>
        <w:t>份，甲方执</w:t>
      </w:r>
      <w:r>
        <w:rPr>
          <w:rFonts w:hint="eastAsia" w:ascii="仿宋_GB2312" w:hAnsi="仿宋" w:eastAsia="仿宋_GB2312"/>
          <w:sz w:val="28"/>
          <w:szCs w:val="28"/>
          <w:u w:val="single"/>
        </w:rPr>
        <w:t xml:space="preserve"> 肆 </w:t>
      </w:r>
      <w:r>
        <w:rPr>
          <w:rFonts w:hint="eastAsia" w:ascii="仿宋_GB2312" w:hAnsi="仿宋" w:eastAsia="仿宋_GB2312"/>
          <w:sz w:val="28"/>
          <w:szCs w:val="28"/>
        </w:rPr>
        <w:t>份，乙方执</w:t>
      </w:r>
      <w:r>
        <w:rPr>
          <w:rFonts w:hint="eastAsia" w:ascii="仿宋_GB2312" w:hAnsi="仿宋" w:eastAsia="仿宋_GB2312"/>
          <w:sz w:val="28"/>
          <w:szCs w:val="28"/>
          <w:u w:val="single"/>
        </w:rPr>
        <w:t xml:space="preserve"> 贰 </w:t>
      </w:r>
      <w:r>
        <w:rPr>
          <w:rFonts w:hint="eastAsia" w:ascii="仿宋_GB2312" w:hAnsi="仿宋" w:eastAsia="仿宋_GB2312"/>
          <w:sz w:val="28"/>
          <w:szCs w:val="28"/>
        </w:rPr>
        <w:t>份，具有同等法律效力。</w:t>
      </w:r>
    </w:p>
    <w:p w14:paraId="661C68CE">
      <w:pPr>
        <w:spacing w:line="520" w:lineRule="exact"/>
        <w:rPr>
          <w:rFonts w:ascii="仿宋_GB2312" w:hAnsi="仿宋" w:eastAsia="仿宋_GB2312"/>
          <w:sz w:val="28"/>
          <w:szCs w:val="28"/>
        </w:rPr>
      </w:pPr>
      <w:r>
        <w:rPr>
          <w:rFonts w:hint="eastAsia" w:ascii="仿宋_GB2312" w:hAnsi="仿宋" w:eastAsia="仿宋_GB2312"/>
          <w:sz w:val="28"/>
          <w:szCs w:val="28"/>
        </w:rPr>
        <w:t xml:space="preserve">    </w:t>
      </w:r>
      <w:r>
        <w:rPr>
          <w:rFonts w:hint="eastAsia" w:ascii="仿宋_GB2312" w:hAnsi="仿宋" w:eastAsia="仿宋_GB2312"/>
          <w:b/>
          <w:sz w:val="28"/>
          <w:szCs w:val="28"/>
        </w:rPr>
        <w:t>第十八条</w:t>
      </w:r>
      <w:r>
        <w:rPr>
          <w:rFonts w:hint="eastAsia" w:ascii="仿宋_GB2312" w:hAnsi="仿宋" w:eastAsia="仿宋_GB2312"/>
          <w:sz w:val="28"/>
          <w:szCs w:val="28"/>
        </w:rPr>
        <w:t xml:space="preserve"> 本合同自双方签字盖章之日起生效。</w:t>
      </w:r>
    </w:p>
    <w:p w14:paraId="09425315">
      <w:pPr>
        <w:rPr>
          <w:rFonts w:ascii="仿宋_GB2312" w:hAnsi="仿宋" w:eastAsia="仿宋_GB2312"/>
          <w:sz w:val="28"/>
          <w:szCs w:val="28"/>
        </w:rPr>
      </w:pPr>
    </w:p>
    <w:p w14:paraId="1E369482">
      <w:pPr>
        <w:widowControl/>
        <w:jc w:val="left"/>
        <w:rPr>
          <w:rFonts w:ascii="仿宋_GB2312" w:hAnsi="仿宋" w:eastAsia="仿宋_GB2312"/>
          <w:sz w:val="28"/>
          <w:szCs w:val="28"/>
        </w:rPr>
      </w:pPr>
      <w:r>
        <w:rPr>
          <w:rFonts w:ascii="仿宋_GB2312" w:hAnsi="仿宋" w:eastAsia="仿宋_GB2312"/>
          <w:sz w:val="28"/>
          <w:szCs w:val="28"/>
        </w:rPr>
        <w:br w:type="page"/>
      </w:r>
    </w:p>
    <w:p w14:paraId="77A9FE5B">
      <w:pPr>
        <w:spacing w:line="360" w:lineRule="auto"/>
        <w:rPr>
          <w:rFonts w:ascii="仿宋_GB2312" w:hAnsi="仿宋" w:eastAsia="仿宋_GB2312"/>
          <w:sz w:val="28"/>
          <w:szCs w:val="28"/>
        </w:rPr>
      </w:pPr>
    </w:p>
    <w:tbl>
      <w:tblPr>
        <w:tblStyle w:val="17"/>
        <w:tblpPr w:leftFromText="180" w:rightFromText="180" w:vertAnchor="text" w:horzAnchor="page" w:tblpX="1480" w:tblpY="216"/>
        <w:tblOverlap w:val="never"/>
        <w:tblW w:w="9239" w:type="dxa"/>
        <w:tblInd w:w="0" w:type="dxa"/>
        <w:tblLayout w:type="fixed"/>
        <w:tblCellMar>
          <w:top w:w="0" w:type="dxa"/>
          <w:left w:w="108" w:type="dxa"/>
          <w:bottom w:w="0" w:type="dxa"/>
          <w:right w:w="108" w:type="dxa"/>
        </w:tblCellMar>
      </w:tblPr>
      <w:tblGrid>
        <w:gridCol w:w="5043"/>
        <w:gridCol w:w="4196"/>
      </w:tblGrid>
      <w:tr w14:paraId="1C756E7F">
        <w:tblPrEx>
          <w:tblCellMar>
            <w:top w:w="0" w:type="dxa"/>
            <w:left w:w="108" w:type="dxa"/>
            <w:bottom w:w="0" w:type="dxa"/>
            <w:right w:w="108" w:type="dxa"/>
          </w:tblCellMar>
        </w:tblPrEx>
        <w:trPr>
          <w:trHeight w:val="1651" w:hRule="atLeast"/>
        </w:trPr>
        <w:tc>
          <w:tcPr>
            <w:tcW w:w="5043" w:type="dxa"/>
          </w:tcPr>
          <w:p w14:paraId="54854570">
            <w:pPr>
              <w:spacing w:line="360" w:lineRule="auto"/>
              <w:rPr>
                <w:rFonts w:ascii="仿宋_GB2312" w:hAnsi="仿宋"/>
                <w:sz w:val="28"/>
                <w:szCs w:val="28"/>
              </w:rPr>
            </w:pPr>
            <w:r>
              <w:rPr>
                <w:rFonts w:hint="eastAsia" w:ascii="仿宋_GB2312" w:hAnsi="仿宋" w:eastAsia="仿宋_GB2312"/>
                <w:sz w:val="28"/>
                <w:szCs w:val="28"/>
              </w:rPr>
              <w:t>委托方(盖章):</w:t>
            </w:r>
            <w:r>
              <w:rPr>
                <w:rFonts w:hint="eastAsia"/>
              </w:rPr>
              <w:t xml:space="preserve"> </w:t>
            </w:r>
            <w:r>
              <w:rPr>
                <w:rFonts w:hint="eastAsia" w:ascii="仿宋_GB2312" w:hAnsi="仿宋" w:eastAsia="仿宋_GB2312"/>
                <w:sz w:val="28"/>
                <w:szCs w:val="28"/>
              </w:rPr>
              <w:t>山东济钢环保新材料有限公司</w:t>
            </w:r>
          </w:p>
        </w:tc>
        <w:tc>
          <w:tcPr>
            <w:tcW w:w="4196" w:type="dxa"/>
          </w:tcPr>
          <w:p w14:paraId="2C1B4C5F">
            <w:pPr>
              <w:spacing w:line="360" w:lineRule="auto"/>
              <w:rPr>
                <w:rFonts w:hint="eastAsia" w:ascii="仿宋_GB2312" w:hAnsi="仿宋" w:eastAsia="仿宋_GB2312"/>
                <w:sz w:val="28"/>
                <w:szCs w:val="28"/>
                <w:lang w:val="en-US" w:eastAsia="zh-CN"/>
              </w:rPr>
            </w:pPr>
            <w:r>
              <w:rPr>
                <w:rFonts w:hint="eastAsia" w:ascii="仿宋_GB2312" w:hAnsi="仿宋" w:eastAsia="仿宋_GB2312"/>
                <w:sz w:val="28"/>
                <w:szCs w:val="28"/>
              </w:rPr>
              <w:t>受托方(盖章):</w:t>
            </w:r>
            <w:r>
              <w:rPr>
                <w:rFonts w:hint="eastAsia" w:ascii="仿宋_GB2312" w:hAnsi="仿宋" w:eastAsia="仿宋_GB2312"/>
                <w:sz w:val="28"/>
                <w:szCs w:val="28"/>
                <w:lang w:val="en-US" w:eastAsia="zh-CN"/>
              </w:rPr>
              <w:t xml:space="preserve"> </w:t>
            </w:r>
          </w:p>
        </w:tc>
      </w:tr>
      <w:tr w14:paraId="47FE8B79">
        <w:tblPrEx>
          <w:tblCellMar>
            <w:top w:w="0" w:type="dxa"/>
            <w:left w:w="108" w:type="dxa"/>
            <w:bottom w:w="0" w:type="dxa"/>
            <w:right w:w="108" w:type="dxa"/>
          </w:tblCellMar>
        </w:tblPrEx>
        <w:trPr>
          <w:trHeight w:val="823" w:hRule="atLeast"/>
        </w:trPr>
        <w:tc>
          <w:tcPr>
            <w:tcW w:w="5043" w:type="dxa"/>
          </w:tcPr>
          <w:p w14:paraId="448CE8E6">
            <w:pPr>
              <w:spacing w:line="360" w:lineRule="auto"/>
              <w:rPr>
                <w:rFonts w:ascii="仿宋_GB2312" w:hAnsi="仿宋" w:eastAsia="仿宋_GB2312"/>
                <w:sz w:val="28"/>
                <w:szCs w:val="28"/>
              </w:rPr>
            </w:pPr>
            <w:r>
              <w:rPr>
                <w:rFonts w:hint="eastAsia" w:ascii="仿宋_GB2312" w:hAnsi="仿宋" w:eastAsia="仿宋_GB2312"/>
                <w:sz w:val="28"/>
                <w:szCs w:val="28"/>
              </w:rPr>
              <w:t xml:space="preserve">住所：山东省济南市章丘区官庄街道青野村东  </w:t>
            </w:r>
          </w:p>
        </w:tc>
        <w:tc>
          <w:tcPr>
            <w:tcW w:w="4196" w:type="dxa"/>
          </w:tcPr>
          <w:p w14:paraId="03803624">
            <w:pPr>
              <w:spacing w:line="360" w:lineRule="auto"/>
              <w:rPr>
                <w:rFonts w:ascii="仿宋_GB2312" w:hAnsi="仿宋" w:eastAsia="仿宋_GB2312"/>
                <w:sz w:val="28"/>
                <w:szCs w:val="28"/>
              </w:rPr>
            </w:pPr>
            <w:r>
              <w:rPr>
                <w:rFonts w:hint="eastAsia" w:ascii="仿宋_GB2312" w:hAnsi="仿宋" w:eastAsia="仿宋_GB2312"/>
                <w:sz w:val="28"/>
                <w:szCs w:val="28"/>
              </w:rPr>
              <w:t>住所：</w:t>
            </w:r>
          </w:p>
        </w:tc>
      </w:tr>
      <w:tr w14:paraId="3A7F8111">
        <w:tblPrEx>
          <w:tblCellMar>
            <w:top w:w="0" w:type="dxa"/>
            <w:left w:w="108" w:type="dxa"/>
            <w:bottom w:w="0" w:type="dxa"/>
            <w:right w:w="108" w:type="dxa"/>
          </w:tblCellMar>
        </w:tblPrEx>
        <w:trPr>
          <w:trHeight w:val="894" w:hRule="atLeast"/>
        </w:trPr>
        <w:tc>
          <w:tcPr>
            <w:tcW w:w="5043" w:type="dxa"/>
          </w:tcPr>
          <w:p w14:paraId="3297F717">
            <w:pPr>
              <w:spacing w:line="360" w:lineRule="auto"/>
              <w:rPr>
                <w:rFonts w:ascii="仿宋_GB2312" w:hAnsi="仿宋" w:eastAsia="仿宋_GB2312"/>
                <w:sz w:val="28"/>
                <w:szCs w:val="28"/>
              </w:rPr>
            </w:pPr>
            <w:r>
              <w:rPr>
                <w:rFonts w:hint="eastAsia" w:ascii="仿宋_GB2312" w:hAnsi="仿宋" w:eastAsia="仿宋_GB2312"/>
                <w:sz w:val="28"/>
                <w:szCs w:val="28"/>
              </w:rPr>
              <w:t>法定代表人：</w:t>
            </w:r>
          </w:p>
        </w:tc>
        <w:tc>
          <w:tcPr>
            <w:tcW w:w="4196" w:type="dxa"/>
          </w:tcPr>
          <w:p w14:paraId="1CC138F9">
            <w:pPr>
              <w:spacing w:line="360" w:lineRule="auto"/>
              <w:rPr>
                <w:rFonts w:ascii="仿宋_GB2312" w:hAnsi="仿宋" w:eastAsia="仿宋_GB2312"/>
                <w:sz w:val="28"/>
                <w:szCs w:val="28"/>
              </w:rPr>
            </w:pPr>
            <w:r>
              <w:rPr>
                <w:rFonts w:hint="eastAsia" w:ascii="仿宋_GB2312" w:hAnsi="仿宋" w:eastAsia="仿宋_GB2312"/>
                <w:sz w:val="28"/>
                <w:szCs w:val="28"/>
              </w:rPr>
              <w:t xml:space="preserve">法定代表人： </w:t>
            </w:r>
          </w:p>
        </w:tc>
      </w:tr>
      <w:tr w14:paraId="00A75FE3">
        <w:tblPrEx>
          <w:tblCellMar>
            <w:top w:w="0" w:type="dxa"/>
            <w:left w:w="108" w:type="dxa"/>
            <w:bottom w:w="0" w:type="dxa"/>
            <w:right w:w="108" w:type="dxa"/>
          </w:tblCellMar>
        </w:tblPrEx>
        <w:trPr>
          <w:trHeight w:val="823" w:hRule="atLeast"/>
        </w:trPr>
        <w:tc>
          <w:tcPr>
            <w:tcW w:w="5043" w:type="dxa"/>
          </w:tcPr>
          <w:p w14:paraId="4EC8362B">
            <w:pPr>
              <w:spacing w:line="360" w:lineRule="auto"/>
              <w:rPr>
                <w:rFonts w:ascii="仿宋_GB2312" w:hAnsi="仿宋" w:eastAsia="仿宋_GB2312"/>
                <w:sz w:val="28"/>
                <w:szCs w:val="28"/>
              </w:rPr>
            </w:pPr>
            <w:r>
              <w:rPr>
                <w:rFonts w:hint="eastAsia" w:ascii="仿宋_GB2312" w:hAnsi="仿宋" w:eastAsia="仿宋_GB2312"/>
                <w:sz w:val="28"/>
                <w:szCs w:val="28"/>
              </w:rPr>
              <w:t>委托代理人：</w:t>
            </w:r>
          </w:p>
        </w:tc>
        <w:tc>
          <w:tcPr>
            <w:tcW w:w="4196" w:type="dxa"/>
          </w:tcPr>
          <w:p w14:paraId="0DCE5A7B">
            <w:pPr>
              <w:spacing w:line="360" w:lineRule="auto"/>
              <w:rPr>
                <w:rFonts w:ascii="仿宋_GB2312" w:hAnsi="仿宋" w:eastAsia="仿宋_GB2312"/>
                <w:sz w:val="28"/>
                <w:szCs w:val="28"/>
              </w:rPr>
            </w:pPr>
            <w:r>
              <w:rPr>
                <w:rFonts w:hint="eastAsia" w:ascii="仿宋_GB2312" w:hAnsi="仿宋" w:eastAsia="仿宋_GB2312"/>
                <w:sz w:val="28"/>
                <w:szCs w:val="28"/>
              </w:rPr>
              <w:t>委托代理人：</w:t>
            </w:r>
          </w:p>
        </w:tc>
      </w:tr>
      <w:tr w14:paraId="78C2EDD0">
        <w:tblPrEx>
          <w:tblCellMar>
            <w:top w:w="0" w:type="dxa"/>
            <w:left w:w="108" w:type="dxa"/>
            <w:bottom w:w="0" w:type="dxa"/>
            <w:right w:w="108" w:type="dxa"/>
          </w:tblCellMar>
        </w:tblPrEx>
        <w:trPr>
          <w:trHeight w:val="823" w:hRule="atLeast"/>
        </w:trPr>
        <w:tc>
          <w:tcPr>
            <w:tcW w:w="5043" w:type="dxa"/>
          </w:tcPr>
          <w:p w14:paraId="1A2E970E">
            <w:pPr>
              <w:spacing w:line="360" w:lineRule="auto"/>
              <w:rPr>
                <w:rFonts w:ascii="仿宋_GB2312" w:hAnsi="仿宋" w:eastAsia="仿宋_GB2312"/>
                <w:sz w:val="28"/>
                <w:szCs w:val="28"/>
              </w:rPr>
            </w:pPr>
            <w:r>
              <w:rPr>
                <w:rFonts w:hint="eastAsia" w:ascii="仿宋_GB2312" w:hAnsi="仿宋" w:eastAsia="仿宋_GB2312"/>
                <w:sz w:val="28"/>
                <w:szCs w:val="28"/>
              </w:rPr>
              <w:t>传真：</w:t>
            </w:r>
          </w:p>
        </w:tc>
        <w:tc>
          <w:tcPr>
            <w:tcW w:w="4196" w:type="dxa"/>
          </w:tcPr>
          <w:p w14:paraId="4F776368">
            <w:pPr>
              <w:spacing w:line="360" w:lineRule="auto"/>
              <w:rPr>
                <w:rFonts w:ascii="仿宋_GB2312" w:hAnsi="仿宋" w:eastAsia="仿宋_GB2312"/>
                <w:sz w:val="28"/>
                <w:szCs w:val="28"/>
              </w:rPr>
            </w:pPr>
            <w:r>
              <w:rPr>
                <w:rFonts w:hint="eastAsia" w:ascii="仿宋_GB2312" w:hAnsi="仿宋" w:eastAsia="仿宋_GB2312"/>
                <w:sz w:val="28"/>
                <w:szCs w:val="28"/>
              </w:rPr>
              <w:t>传真：</w:t>
            </w:r>
          </w:p>
        </w:tc>
      </w:tr>
      <w:tr w14:paraId="1841FFAA">
        <w:tblPrEx>
          <w:tblCellMar>
            <w:top w:w="0" w:type="dxa"/>
            <w:left w:w="108" w:type="dxa"/>
            <w:bottom w:w="0" w:type="dxa"/>
            <w:right w:w="108" w:type="dxa"/>
          </w:tblCellMar>
        </w:tblPrEx>
        <w:trPr>
          <w:trHeight w:val="1651" w:hRule="atLeast"/>
        </w:trPr>
        <w:tc>
          <w:tcPr>
            <w:tcW w:w="5043" w:type="dxa"/>
          </w:tcPr>
          <w:p w14:paraId="6B500766">
            <w:pPr>
              <w:spacing w:line="360" w:lineRule="auto"/>
              <w:jc w:val="left"/>
              <w:rPr>
                <w:rFonts w:ascii="仿宋_GB2312" w:hAnsi="仿宋" w:eastAsia="仿宋_GB2312"/>
                <w:sz w:val="28"/>
                <w:szCs w:val="28"/>
                <w:lang w:val="zh-CN"/>
              </w:rPr>
            </w:pPr>
            <w:r>
              <w:rPr>
                <w:rFonts w:hint="eastAsia" w:ascii="仿宋_GB2312" w:hAnsi="仿宋" w:eastAsia="仿宋_GB2312"/>
                <w:sz w:val="28"/>
                <w:szCs w:val="28"/>
              </w:rPr>
              <w:t>开户银行：</w:t>
            </w:r>
            <w:r>
              <w:rPr>
                <w:rFonts w:hint="eastAsia" w:ascii="仿宋_GB2312" w:hAnsi="仿宋" w:eastAsia="仿宋_GB2312"/>
                <w:sz w:val="28"/>
                <w:szCs w:val="28"/>
                <w:lang w:val="zh-CN"/>
              </w:rPr>
              <w:t xml:space="preserve">中国民生银行济南章丘支行              </w:t>
            </w:r>
          </w:p>
          <w:p w14:paraId="0A05535C">
            <w:pPr>
              <w:spacing w:line="360" w:lineRule="auto"/>
              <w:rPr>
                <w:rFonts w:ascii="仿宋_GB2312" w:hAnsi="仿宋" w:eastAsia="仿宋_GB2312"/>
                <w:sz w:val="28"/>
                <w:szCs w:val="28"/>
              </w:rPr>
            </w:pPr>
            <w:r>
              <w:rPr>
                <w:rFonts w:hint="eastAsia" w:ascii="仿宋_GB2312" w:hAnsi="仿宋" w:eastAsia="仿宋_GB2312"/>
                <w:sz w:val="28"/>
                <w:szCs w:val="28"/>
              </w:rPr>
              <w:t xml:space="preserve"> </w:t>
            </w:r>
          </w:p>
        </w:tc>
        <w:tc>
          <w:tcPr>
            <w:tcW w:w="4196" w:type="dxa"/>
          </w:tcPr>
          <w:p w14:paraId="5D814CC4">
            <w:pPr>
              <w:spacing w:line="360" w:lineRule="auto"/>
              <w:rPr>
                <w:rFonts w:ascii="仿宋_GB2312" w:hAnsi="仿宋" w:eastAsia="仿宋_GB2312"/>
                <w:sz w:val="28"/>
                <w:szCs w:val="28"/>
              </w:rPr>
            </w:pPr>
            <w:r>
              <w:rPr>
                <w:rFonts w:hint="eastAsia" w:ascii="仿宋_GB2312" w:hAnsi="仿宋" w:eastAsia="仿宋_GB2312"/>
                <w:sz w:val="28"/>
                <w:szCs w:val="28"/>
              </w:rPr>
              <w:t>开户银行：</w:t>
            </w:r>
          </w:p>
        </w:tc>
      </w:tr>
      <w:tr w14:paraId="3F7C68B1">
        <w:tblPrEx>
          <w:tblCellMar>
            <w:top w:w="0" w:type="dxa"/>
            <w:left w:w="108" w:type="dxa"/>
            <w:bottom w:w="0" w:type="dxa"/>
            <w:right w:w="108" w:type="dxa"/>
          </w:tblCellMar>
        </w:tblPrEx>
        <w:trPr>
          <w:trHeight w:val="823" w:hRule="atLeast"/>
        </w:trPr>
        <w:tc>
          <w:tcPr>
            <w:tcW w:w="5043" w:type="dxa"/>
          </w:tcPr>
          <w:p w14:paraId="48856896">
            <w:pPr>
              <w:spacing w:line="360" w:lineRule="auto"/>
              <w:rPr>
                <w:rFonts w:ascii="仿宋_GB2312" w:hAnsi="仿宋" w:eastAsia="仿宋_GB2312"/>
                <w:sz w:val="28"/>
                <w:szCs w:val="28"/>
              </w:rPr>
            </w:pPr>
            <w:r>
              <w:rPr>
                <w:rFonts w:hint="eastAsia" w:ascii="仿宋_GB2312" w:hAnsi="仿宋" w:eastAsia="仿宋_GB2312"/>
                <w:sz w:val="28"/>
                <w:szCs w:val="28"/>
              </w:rPr>
              <w:t>帐号：</w:t>
            </w:r>
            <w:r>
              <w:rPr>
                <w:rFonts w:hint="eastAsia" w:ascii="仿宋_GB2312" w:hAnsi="仿宋" w:eastAsia="仿宋_GB2312"/>
                <w:sz w:val="28"/>
                <w:szCs w:val="28"/>
                <w:lang w:val="zh-CN"/>
              </w:rPr>
              <w:t xml:space="preserve">609055119  </w:t>
            </w:r>
            <w:r>
              <w:rPr>
                <w:rFonts w:hint="eastAsia" w:ascii="仿宋_GB2312" w:hAnsi="仿宋" w:eastAsia="仿宋_GB2312"/>
                <w:sz w:val="28"/>
                <w:szCs w:val="28"/>
              </w:rPr>
              <w:t xml:space="preserve">  </w:t>
            </w:r>
          </w:p>
        </w:tc>
        <w:tc>
          <w:tcPr>
            <w:tcW w:w="4196" w:type="dxa"/>
          </w:tcPr>
          <w:p w14:paraId="51C7B88B">
            <w:pPr>
              <w:spacing w:line="360" w:lineRule="auto"/>
              <w:jc w:val="left"/>
              <w:rPr>
                <w:rFonts w:ascii="仿宋_GB2312" w:hAnsi="仿宋" w:eastAsia="仿宋_GB2312"/>
                <w:sz w:val="28"/>
                <w:szCs w:val="28"/>
              </w:rPr>
            </w:pPr>
            <w:r>
              <w:rPr>
                <w:rFonts w:hint="eastAsia" w:ascii="仿宋_GB2312" w:hAnsi="仿宋" w:eastAsia="仿宋_GB2312"/>
                <w:sz w:val="28"/>
                <w:szCs w:val="28"/>
              </w:rPr>
              <w:t>帐号：</w:t>
            </w:r>
          </w:p>
        </w:tc>
      </w:tr>
      <w:tr w14:paraId="41183D9F">
        <w:tblPrEx>
          <w:tblCellMar>
            <w:top w:w="0" w:type="dxa"/>
            <w:left w:w="108" w:type="dxa"/>
            <w:bottom w:w="0" w:type="dxa"/>
            <w:right w:w="108" w:type="dxa"/>
          </w:tblCellMar>
        </w:tblPrEx>
        <w:trPr>
          <w:trHeight w:val="823" w:hRule="atLeast"/>
        </w:trPr>
        <w:tc>
          <w:tcPr>
            <w:tcW w:w="5043" w:type="dxa"/>
          </w:tcPr>
          <w:p w14:paraId="7C6CAA55">
            <w:pPr>
              <w:spacing w:line="360" w:lineRule="auto"/>
              <w:rPr>
                <w:rFonts w:ascii="仿宋_GB2312" w:hAnsi="仿宋" w:eastAsia="仿宋_GB2312"/>
                <w:sz w:val="28"/>
                <w:szCs w:val="28"/>
              </w:rPr>
            </w:pPr>
            <w:r>
              <w:rPr>
                <w:rFonts w:hint="eastAsia" w:ascii="仿宋_GB2312" w:hAnsi="仿宋" w:eastAsia="仿宋_GB2312"/>
                <w:sz w:val="28"/>
                <w:szCs w:val="28"/>
              </w:rPr>
              <w:t>经办人：</w:t>
            </w:r>
          </w:p>
        </w:tc>
        <w:tc>
          <w:tcPr>
            <w:tcW w:w="4196" w:type="dxa"/>
          </w:tcPr>
          <w:p w14:paraId="16D4ADA1">
            <w:pPr>
              <w:spacing w:line="360" w:lineRule="auto"/>
              <w:rPr>
                <w:rFonts w:ascii="仿宋_GB2312" w:hAnsi="仿宋" w:eastAsia="仿宋_GB2312"/>
                <w:sz w:val="28"/>
                <w:szCs w:val="28"/>
              </w:rPr>
            </w:pPr>
            <w:r>
              <w:rPr>
                <w:rFonts w:hint="eastAsia" w:ascii="仿宋_GB2312" w:hAnsi="仿宋" w:eastAsia="仿宋_GB2312"/>
                <w:sz w:val="28"/>
                <w:szCs w:val="28"/>
              </w:rPr>
              <w:t xml:space="preserve">经办人： </w:t>
            </w:r>
          </w:p>
        </w:tc>
      </w:tr>
    </w:tbl>
    <w:p w14:paraId="50E45A2B">
      <w:pPr>
        <w:spacing w:line="360" w:lineRule="auto"/>
        <w:rPr>
          <w:rFonts w:ascii="仿宋_GB2312" w:hAnsi="仿宋" w:eastAsia="仿宋_GB2312"/>
          <w:sz w:val="28"/>
          <w:szCs w:val="28"/>
        </w:rPr>
      </w:pPr>
    </w:p>
    <w:p w14:paraId="60C4B571"/>
    <w:p w14:paraId="2350C3E2"/>
    <w:p w14:paraId="19B93AB8"/>
    <w:p w14:paraId="0D34DBC5">
      <w:pPr>
        <w:spacing w:line="520" w:lineRule="exact"/>
        <w:ind w:firstLine="600" w:firstLineChars="250"/>
        <w:jc w:val="left"/>
        <w:rPr>
          <w:rFonts w:ascii="仿宋_GB2312" w:hAnsi="宋体" w:eastAsia="仿宋_GB2312"/>
          <w:sz w:val="24"/>
        </w:rPr>
      </w:pPr>
    </w:p>
    <w:p w14:paraId="3196CFB8">
      <w:pPr>
        <w:pStyle w:val="2"/>
        <w:rPr>
          <w:rFonts w:ascii="仿宋_GB2312" w:hAnsi="宋体" w:eastAsia="仿宋_GB2312"/>
          <w:color w:val="auto"/>
        </w:rPr>
      </w:pPr>
    </w:p>
    <w:p w14:paraId="71723444">
      <w:pPr>
        <w:pStyle w:val="2"/>
        <w:rPr>
          <w:rFonts w:ascii="仿宋_GB2312" w:hAnsi="宋体" w:eastAsia="仿宋_GB2312"/>
          <w:color w:val="auto"/>
        </w:rPr>
      </w:pPr>
    </w:p>
    <w:p w14:paraId="78E3A349">
      <w:pPr>
        <w:pStyle w:val="2"/>
        <w:rPr>
          <w:rFonts w:ascii="仿宋_GB2312" w:hAnsi="宋体" w:eastAsia="仿宋_GB2312"/>
          <w:color w:val="auto"/>
        </w:rPr>
      </w:pPr>
    </w:p>
    <w:p w14:paraId="5F841F04">
      <w:pPr>
        <w:pStyle w:val="2"/>
        <w:rPr>
          <w:rFonts w:ascii="仿宋_GB2312" w:hAnsi="宋体" w:eastAsia="仿宋_GB2312"/>
          <w:color w:val="auto"/>
        </w:rPr>
      </w:pPr>
    </w:p>
    <w:p w14:paraId="03CCB82F">
      <w:pPr>
        <w:pStyle w:val="2"/>
        <w:rPr>
          <w:rFonts w:ascii="仿宋_GB2312" w:hAnsi="宋体" w:eastAsia="仿宋_GB2312"/>
          <w:color w:val="auto"/>
        </w:rPr>
      </w:pPr>
    </w:p>
    <w:p w14:paraId="2B5FA573">
      <w:pPr>
        <w:pStyle w:val="2"/>
        <w:rPr>
          <w:rFonts w:ascii="仿宋_GB2312" w:hAnsi="宋体" w:eastAsia="仿宋_GB2312"/>
          <w:color w:val="auto"/>
        </w:rPr>
      </w:pPr>
    </w:p>
    <w:p w14:paraId="47E2AD24">
      <w:pPr>
        <w:pStyle w:val="2"/>
        <w:rPr>
          <w:rFonts w:ascii="仿宋_GB2312" w:hAnsi="宋体" w:eastAsia="仿宋_GB2312"/>
          <w:color w:val="auto"/>
        </w:rPr>
      </w:pPr>
    </w:p>
    <w:p w14:paraId="3856529B">
      <w:pPr>
        <w:pStyle w:val="2"/>
        <w:rPr>
          <w:rFonts w:ascii="仿宋_GB2312" w:hAnsi="宋体" w:eastAsia="仿宋_GB2312"/>
          <w:color w:val="auto"/>
        </w:rPr>
      </w:pPr>
    </w:p>
    <w:p w14:paraId="03D45B4D">
      <w:pPr>
        <w:pStyle w:val="33"/>
        <w:widowControl/>
        <w:spacing w:beforeLines="0" w:line="300" w:lineRule="auto"/>
        <w:jc w:val="both"/>
        <w:rPr>
          <w:rFonts w:ascii="方正小标宋简体" w:hAnsi="方正小标宋简体" w:eastAsia="方正小标宋简体" w:cs="方正小标宋简体"/>
          <w:kern w:val="0"/>
          <w:szCs w:val="21"/>
        </w:rPr>
      </w:pPr>
      <w:r>
        <w:rPr>
          <w:rFonts w:hint="eastAsia" w:ascii="方正小标宋简体" w:hAnsi="方正小标宋简体" w:eastAsia="方正小标宋简体" w:cs="方正小标宋简体"/>
          <w:kern w:val="0"/>
          <w:szCs w:val="21"/>
        </w:rPr>
        <w:t>第五章</w:t>
      </w:r>
      <w:r>
        <w:rPr>
          <w:rFonts w:ascii="方正小标宋简体" w:hAnsi="方正小标宋简体" w:eastAsia="方正小标宋简体" w:cs="方正小标宋简体"/>
          <w:kern w:val="0"/>
          <w:szCs w:val="21"/>
        </w:rPr>
        <w:t xml:space="preserve"> </w:t>
      </w:r>
      <w:r>
        <w:rPr>
          <w:rFonts w:hint="eastAsia" w:ascii="方正小标宋简体" w:hAnsi="方正小标宋简体" w:eastAsia="方正小标宋简体" w:cs="方正小标宋简体"/>
          <w:kern w:val="0"/>
          <w:szCs w:val="21"/>
        </w:rPr>
        <w:t>响应文件格式及内容</w:t>
      </w:r>
    </w:p>
    <w:p w14:paraId="29F27F38">
      <w:pPr>
        <w:autoSpaceDE w:val="0"/>
        <w:autoSpaceDN w:val="0"/>
        <w:adjustRightInd w:val="0"/>
        <w:spacing w:line="300" w:lineRule="auto"/>
        <w:ind w:firstLine="2940" w:firstLineChars="1400"/>
        <w:rPr>
          <w:rFonts w:ascii="Times New Roman" w:hAnsi="Times New Roman" w:eastAsia="黑体"/>
          <w:shd w:val="clear" w:color="auto" w:fill="FFFFFF"/>
        </w:rPr>
      </w:pPr>
    </w:p>
    <w:p w14:paraId="1E671711">
      <w:pPr>
        <w:autoSpaceDE w:val="0"/>
        <w:autoSpaceDN w:val="0"/>
        <w:adjustRightInd w:val="0"/>
        <w:spacing w:line="300" w:lineRule="auto"/>
        <w:ind w:firstLine="6160" w:firstLineChars="1400"/>
        <w:jc w:val="right"/>
        <w:rPr>
          <w:rFonts w:ascii="Times New Roman" w:hAnsi="Times New Roman" w:eastAsia="黑体"/>
          <w:sz w:val="44"/>
          <w:szCs w:val="44"/>
        </w:rPr>
      </w:pPr>
      <w:r>
        <w:rPr>
          <w:rFonts w:hint="eastAsia" w:ascii="Times New Roman" w:hAnsi="Times New Roman" w:eastAsia="黑体"/>
          <w:sz w:val="44"/>
          <w:szCs w:val="44"/>
          <w:bdr w:val="single" w:color="auto" w:sz="4" w:space="0"/>
        </w:rPr>
        <w:t>正本</w:t>
      </w:r>
      <w:r>
        <w:rPr>
          <w:rFonts w:ascii="Times New Roman" w:hAnsi="Times New Roman" w:eastAsia="黑体"/>
          <w:sz w:val="44"/>
          <w:szCs w:val="44"/>
          <w:bdr w:val="single" w:color="auto" w:sz="4" w:space="0"/>
        </w:rPr>
        <w:t>/</w:t>
      </w:r>
      <w:r>
        <w:rPr>
          <w:rFonts w:hint="eastAsia" w:ascii="Times New Roman" w:hAnsi="Times New Roman" w:eastAsia="黑体"/>
          <w:sz w:val="44"/>
          <w:szCs w:val="44"/>
          <w:bdr w:val="single" w:color="auto" w:sz="4" w:space="0"/>
        </w:rPr>
        <w:t>副本</w:t>
      </w:r>
    </w:p>
    <w:p w14:paraId="099739AB">
      <w:pPr>
        <w:spacing w:line="300" w:lineRule="auto"/>
        <w:rPr>
          <w:rFonts w:ascii="Times New Roman" w:hAnsi="Times New Roman"/>
          <w:szCs w:val="21"/>
        </w:rPr>
      </w:pPr>
    </w:p>
    <w:p w14:paraId="2C957CEB">
      <w:pPr>
        <w:spacing w:line="300" w:lineRule="auto"/>
        <w:jc w:val="center"/>
        <w:rPr>
          <w:rFonts w:ascii="Times New Roman" w:hAnsi="Times New Roman" w:eastAsia="黑体"/>
          <w:sz w:val="36"/>
          <w:szCs w:val="36"/>
        </w:rPr>
      </w:pPr>
      <w:r>
        <w:rPr>
          <w:rFonts w:ascii="Times New Roman" w:hAnsi="Times New Roman" w:eastAsia="黑体"/>
          <w:sz w:val="36"/>
          <w:szCs w:val="36"/>
          <w:u w:val="single"/>
        </w:rPr>
        <w:t xml:space="preserve">                      </w:t>
      </w:r>
      <w:r>
        <w:rPr>
          <w:rFonts w:hint="eastAsia" w:ascii="Times New Roman" w:hAnsi="Times New Roman" w:eastAsia="黑体"/>
          <w:sz w:val="36"/>
          <w:szCs w:val="36"/>
        </w:rPr>
        <w:t>（项目名称）</w:t>
      </w:r>
    </w:p>
    <w:p w14:paraId="6037087B">
      <w:pPr>
        <w:spacing w:line="300" w:lineRule="auto"/>
        <w:rPr>
          <w:rFonts w:ascii="Times New Roman" w:hAnsi="Times New Roman"/>
          <w:b/>
          <w:szCs w:val="21"/>
        </w:rPr>
      </w:pPr>
    </w:p>
    <w:p w14:paraId="26C0B5D6">
      <w:pPr>
        <w:spacing w:line="300" w:lineRule="auto"/>
        <w:jc w:val="center"/>
        <w:rPr>
          <w:rFonts w:ascii="Times New Roman" w:hAnsi="Times New Roman"/>
          <w:b/>
          <w:szCs w:val="21"/>
        </w:rPr>
      </w:pPr>
    </w:p>
    <w:p w14:paraId="5CCE98CC">
      <w:pPr>
        <w:spacing w:line="300" w:lineRule="auto"/>
        <w:rPr>
          <w:rFonts w:ascii="Times New Roman" w:hAnsi="Times New Roman"/>
          <w:b/>
          <w:szCs w:val="21"/>
        </w:rPr>
      </w:pPr>
    </w:p>
    <w:p w14:paraId="777B929B">
      <w:pPr>
        <w:spacing w:line="300" w:lineRule="auto"/>
        <w:rPr>
          <w:rFonts w:ascii="Times New Roman" w:hAnsi="Times New Roman"/>
          <w:b/>
          <w:szCs w:val="21"/>
        </w:rPr>
      </w:pPr>
    </w:p>
    <w:p w14:paraId="386E7041">
      <w:pPr>
        <w:spacing w:line="300" w:lineRule="auto"/>
        <w:rPr>
          <w:rFonts w:ascii="Times New Roman" w:hAnsi="Times New Roman"/>
          <w:b/>
          <w:szCs w:val="21"/>
        </w:rPr>
      </w:pPr>
    </w:p>
    <w:p w14:paraId="662DF034">
      <w:pPr>
        <w:spacing w:line="300" w:lineRule="auto"/>
        <w:rPr>
          <w:rFonts w:ascii="Times New Roman" w:hAnsi="Times New Roman"/>
          <w:b/>
          <w:szCs w:val="21"/>
        </w:rPr>
      </w:pPr>
    </w:p>
    <w:p w14:paraId="366EB88B">
      <w:pPr>
        <w:spacing w:line="300" w:lineRule="auto"/>
        <w:jc w:val="center"/>
        <w:rPr>
          <w:rFonts w:ascii="Times New Roman" w:hAnsi="Times New Roman" w:eastAsia="黑体"/>
          <w:sz w:val="36"/>
          <w:szCs w:val="36"/>
        </w:rPr>
      </w:pPr>
      <w:r>
        <w:rPr>
          <w:rFonts w:hint="eastAsia" w:ascii="Times New Roman" w:hAnsi="Times New Roman" w:eastAsia="黑体"/>
          <w:sz w:val="36"/>
          <w:szCs w:val="36"/>
        </w:rPr>
        <w:t>响应文件</w:t>
      </w:r>
    </w:p>
    <w:p w14:paraId="52DC8B04">
      <w:pPr>
        <w:spacing w:line="300" w:lineRule="auto"/>
        <w:rPr>
          <w:rFonts w:ascii="Times New Roman" w:hAnsi="Times New Roman"/>
          <w:b/>
          <w:szCs w:val="21"/>
        </w:rPr>
      </w:pPr>
    </w:p>
    <w:p w14:paraId="400690A9">
      <w:pPr>
        <w:spacing w:line="300" w:lineRule="auto"/>
        <w:rPr>
          <w:rFonts w:ascii="Times New Roman" w:hAnsi="Times New Roman"/>
          <w:szCs w:val="21"/>
        </w:rPr>
      </w:pPr>
    </w:p>
    <w:p w14:paraId="28106753">
      <w:pPr>
        <w:spacing w:line="300" w:lineRule="auto"/>
        <w:rPr>
          <w:rFonts w:ascii="Times New Roman" w:hAnsi="Times New Roman"/>
          <w:szCs w:val="21"/>
        </w:rPr>
      </w:pPr>
    </w:p>
    <w:p w14:paraId="117AF936">
      <w:pPr>
        <w:spacing w:line="300" w:lineRule="auto"/>
        <w:rPr>
          <w:rFonts w:ascii="Times New Roman" w:hAnsi="Times New Roman"/>
          <w:szCs w:val="21"/>
        </w:rPr>
      </w:pPr>
    </w:p>
    <w:p w14:paraId="296BDC94">
      <w:pPr>
        <w:spacing w:line="300" w:lineRule="auto"/>
        <w:rPr>
          <w:rFonts w:ascii="Times New Roman" w:hAnsi="Times New Roman"/>
          <w:szCs w:val="21"/>
        </w:rPr>
      </w:pPr>
    </w:p>
    <w:p w14:paraId="54D01FE1">
      <w:pPr>
        <w:spacing w:line="300" w:lineRule="auto"/>
        <w:rPr>
          <w:rFonts w:ascii="Times New Roman" w:hAnsi="Times New Roman"/>
          <w:szCs w:val="21"/>
        </w:rPr>
      </w:pPr>
    </w:p>
    <w:p w14:paraId="4824139B">
      <w:pPr>
        <w:spacing w:line="300" w:lineRule="auto"/>
        <w:rPr>
          <w:rFonts w:ascii="Times New Roman" w:hAnsi="Times New Roman"/>
          <w:szCs w:val="21"/>
        </w:rPr>
      </w:pPr>
    </w:p>
    <w:p w14:paraId="7222AB68">
      <w:pPr>
        <w:spacing w:line="300" w:lineRule="auto"/>
        <w:rPr>
          <w:rFonts w:ascii="Times New Roman" w:hAnsi="Times New Roman"/>
          <w:szCs w:val="21"/>
        </w:rPr>
      </w:pPr>
    </w:p>
    <w:p w14:paraId="365D208B">
      <w:pPr>
        <w:spacing w:line="300" w:lineRule="auto"/>
        <w:ind w:firstLine="140" w:firstLineChars="50"/>
        <w:rPr>
          <w:rFonts w:ascii="Times New Roman" w:hAnsi="Times New Roman" w:eastAsia="黑体"/>
          <w:sz w:val="28"/>
          <w:szCs w:val="28"/>
          <w:u w:val="single"/>
        </w:rPr>
      </w:pPr>
      <w:r>
        <w:rPr>
          <w:rFonts w:hint="eastAsia" w:ascii="Times New Roman" w:hAnsi="Times New Roman" w:eastAsia="黑体"/>
          <w:sz w:val="28"/>
          <w:szCs w:val="28"/>
        </w:rPr>
        <w:t>供应商：</w:t>
      </w:r>
      <w:r>
        <w:rPr>
          <w:rFonts w:ascii="Times New Roman" w:hAnsi="Times New Roman" w:eastAsia="黑体"/>
          <w:sz w:val="28"/>
          <w:szCs w:val="28"/>
          <w:u w:val="single"/>
        </w:rPr>
        <w:t xml:space="preserve">                                       </w:t>
      </w:r>
      <w:r>
        <w:rPr>
          <w:rFonts w:hint="eastAsia" w:ascii="Times New Roman" w:hAnsi="Times New Roman" w:eastAsia="黑体"/>
          <w:sz w:val="28"/>
          <w:szCs w:val="28"/>
        </w:rPr>
        <w:t>（盖单位公章）</w:t>
      </w:r>
    </w:p>
    <w:p w14:paraId="1B54EB11">
      <w:pPr>
        <w:spacing w:line="300" w:lineRule="auto"/>
        <w:jc w:val="center"/>
        <w:rPr>
          <w:rFonts w:ascii="Times New Roman" w:hAnsi="Times New Roman" w:eastAsia="黑体"/>
          <w:sz w:val="28"/>
          <w:szCs w:val="28"/>
        </w:rPr>
      </w:pPr>
      <w:r>
        <w:rPr>
          <w:rFonts w:hint="eastAsia" w:ascii="Times New Roman" w:hAnsi="Times New Roman" w:eastAsia="黑体"/>
          <w:sz w:val="28"/>
          <w:szCs w:val="28"/>
        </w:rPr>
        <w:t>法定代表人或其委托代理人：</w:t>
      </w:r>
      <w:r>
        <w:rPr>
          <w:rFonts w:ascii="Times New Roman" w:hAnsi="Times New Roman" w:eastAsia="黑体"/>
          <w:sz w:val="28"/>
          <w:szCs w:val="28"/>
          <w:u w:val="single"/>
        </w:rPr>
        <w:t xml:space="preserve">                    </w:t>
      </w:r>
      <w:r>
        <w:rPr>
          <w:rFonts w:hint="eastAsia" w:ascii="Times New Roman" w:hAnsi="Times New Roman" w:eastAsia="黑体"/>
          <w:sz w:val="28"/>
          <w:szCs w:val="28"/>
        </w:rPr>
        <w:t>（签字或盖章）</w:t>
      </w:r>
    </w:p>
    <w:p w14:paraId="4E6D7F07">
      <w:pPr>
        <w:spacing w:line="300" w:lineRule="auto"/>
        <w:jc w:val="center"/>
        <w:rPr>
          <w:rFonts w:ascii="Times New Roman" w:hAnsi="Times New Roman" w:eastAsia="黑体"/>
          <w:sz w:val="28"/>
          <w:szCs w:val="28"/>
          <w:u w:val="single"/>
        </w:rPr>
      </w:pPr>
    </w:p>
    <w:p w14:paraId="600EC690">
      <w:pPr>
        <w:spacing w:line="300" w:lineRule="auto"/>
        <w:jc w:val="center"/>
        <w:rPr>
          <w:rFonts w:ascii="Times New Roman" w:hAnsi="Times New Roman" w:eastAsia="黑体"/>
          <w:sz w:val="28"/>
          <w:szCs w:val="28"/>
        </w:rPr>
        <w:sectPr>
          <w:footerReference r:id="rId8" w:type="default"/>
          <w:footerReference r:id="rId9" w:type="even"/>
          <w:pgSz w:w="11906" w:h="16838"/>
          <w:pgMar w:top="1418" w:right="1644" w:bottom="1247" w:left="1644" w:header="851" w:footer="992" w:gutter="0"/>
          <w:cols w:space="720" w:num="1"/>
          <w:docGrid w:type="lines" w:linePitch="312" w:charSpace="0"/>
        </w:sectPr>
      </w:pPr>
      <w:r>
        <w:rPr>
          <w:rFonts w:ascii="Times New Roman" w:hAnsi="Times New Roman" w:eastAsia="黑体"/>
          <w:sz w:val="28"/>
          <w:szCs w:val="28"/>
          <w:u w:val="single"/>
        </w:rPr>
        <w:t xml:space="preserve">      </w:t>
      </w:r>
      <w:r>
        <w:rPr>
          <w:rFonts w:hint="eastAsia" w:ascii="Times New Roman" w:hAnsi="Times New Roman" w:eastAsia="黑体"/>
          <w:sz w:val="28"/>
          <w:szCs w:val="28"/>
        </w:rPr>
        <w:t>年</w:t>
      </w:r>
      <w:r>
        <w:rPr>
          <w:rFonts w:ascii="Times New Roman" w:hAnsi="Times New Roman" w:eastAsia="黑体"/>
          <w:sz w:val="28"/>
          <w:szCs w:val="28"/>
        </w:rPr>
        <w:t xml:space="preserve"> </w:t>
      </w:r>
      <w:r>
        <w:rPr>
          <w:rFonts w:ascii="Times New Roman" w:hAnsi="Times New Roman" w:eastAsia="黑体"/>
          <w:sz w:val="28"/>
          <w:szCs w:val="28"/>
          <w:u w:val="single"/>
        </w:rPr>
        <w:t xml:space="preserve">   </w:t>
      </w:r>
      <w:r>
        <w:rPr>
          <w:rFonts w:ascii="Times New Roman" w:hAnsi="Times New Roman" w:eastAsia="黑体"/>
          <w:sz w:val="28"/>
          <w:szCs w:val="28"/>
        </w:rPr>
        <w:t xml:space="preserve"> </w:t>
      </w:r>
      <w:r>
        <w:rPr>
          <w:rFonts w:hint="eastAsia" w:ascii="Times New Roman" w:hAnsi="Times New Roman" w:eastAsia="黑体"/>
          <w:sz w:val="28"/>
          <w:szCs w:val="28"/>
        </w:rPr>
        <w:t>月</w:t>
      </w:r>
      <w:r>
        <w:rPr>
          <w:rFonts w:ascii="Times New Roman" w:hAnsi="Times New Roman" w:eastAsia="黑体"/>
          <w:sz w:val="28"/>
          <w:szCs w:val="28"/>
        </w:rPr>
        <w:t xml:space="preserve">  </w:t>
      </w:r>
      <w:r>
        <w:rPr>
          <w:rFonts w:ascii="Times New Roman" w:hAnsi="Times New Roman" w:eastAsia="黑体"/>
          <w:sz w:val="28"/>
          <w:szCs w:val="28"/>
          <w:u w:val="single"/>
        </w:rPr>
        <w:t xml:space="preserve">    </w:t>
      </w:r>
      <w:r>
        <w:rPr>
          <w:rFonts w:hint="eastAsia" w:ascii="Times New Roman" w:hAnsi="Times New Roman" w:eastAsia="黑体"/>
          <w:sz w:val="28"/>
          <w:szCs w:val="28"/>
        </w:rPr>
        <w:t>日</w:t>
      </w:r>
    </w:p>
    <w:p w14:paraId="599C65A4">
      <w:pPr>
        <w:pStyle w:val="4"/>
        <w:spacing w:before="0" w:after="0" w:line="300" w:lineRule="auto"/>
        <w:jc w:val="center"/>
        <w:rPr>
          <w:rFonts w:ascii="Times New Roman" w:hAnsi="Times New Roman"/>
        </w:rPr>
      </w:pPr>
      <w:r>
        <w:rPr>
          <w:rFonts w:hint="eastAsia" w:ascii="Times New Roman" w:hAnsi="Times New Roman"/>
        </w:rPr>
        <w:t>目</w:t>
      </w:r>
      <w:r>
        <w:rPr>
          <w:rFonts w:ascii="Times New Roman" w:hAnsi="Times New Roman"/>
        </w:rPr>
        <w:t xml:space="preserve">    </w:t>
      </w:r>
      <w:r>
        <w:rPr>
          <w:rFonts w:hint="eastAsia" w:ascii="Times New Roman" w:hAnsi="Times New Roman"/>
        </w:rPr>
        <w:t>录</w:t>
      </w:r>
    </w:p>
    <w:p w14:paraId="0B4ADE88">
      <w:pPr>
        <w:spacing w:line="300" w:lineRule="auto"/>
        <w:rPr>
          <w:rFonts w:ascii="Times New Roman" w:hAnsi="Times New Roman"/>
        </w:rPr>
      </w:pPr>
    </w:p>
    <w:p w14:paraId="1BA579C7">
      <w:pPr>
        <w:ind w:firstLine="420" w:firstLineChars="150"/>
        <w:rPr>
          <w:sz w:val="28"/>
          <w:szCs w:val="28"/>
        </w:rPr>
      </w:pPr>
      <w:r>
        <w:rPr>
          <w:rFonts w:hint="eastAsia"/>
          <w:sz w:val="28"/>
          <w:szCs w:val="28"/>
        </w:rPr>
        <w:t>第一部分：商务部分</w:t>
      </w:r>
    </w:p>
    <w:p w14:paraId="7E7446E1">
      <w:pPr>
        <w:spacing w:line="360" w:lineRule="auto"/>
        <w:ind w:firstLine="420" w:firstLineChars="200"/>
        <w:rPr>
          <w:rFonts w:cs="仿宋"/>
        </w:rPr>
      </w:pPr>
      <w:r>
        <w:rPr>
          <w:rFonts w:hint="eastAsia" w:cs="仿宋"/>
        </w:rPr>
        <w:t>1、报价函</w:t>
      </w:r>
    </w:p>
    <w:p w14:paraId="6ED9A36B">
      <w:pPr>
        <w:pStyle w:val="16"/>
        <w:ind w:left="0" w:leftChars="0" w:firstLine="0" w:firstLineChars="0"/>
      </w:pPr>
      <w:r>
        <w:rPr>
          <w:rFonts w:hint="eastAsia"/>
        </w:rPr>
        <w:t xml:space="preserve">    2、法定代表人身份证明</w:t>
      </w:r>
    </w:p>
    <w:p w14:paraId="3A93A615">
      <w:pPr>
        <w:spacing w:line="360" w:lineRule="auto"/>
        <w:ind w:firstLine="420" w:firstLineChars="200"/>
        <w:rPr>
          <w:rFonts w:cs="仿宋"/>
        </w:rPr>
      </w:pPr>
      <w:r>
        <w:rPr>
          <w:rFonts w:hint="eastAsia" w:cs="仿宋"/>
        </w:rPr>
        <w:t>3、授权委托书</w:t>
      </w:r>
    </w:p>
    <w:p w14:paraId="5279D87F">
      <w:pPr>
        <w:spacing w:line="360" w:lineRule="auto"/>
        <w:ind w:firstLine="420" w:firstLineChars="200"/>
        <w:rPr>
          <w:rFonts w:cs="仿宋"/>
        </w:rPr>
      </w:pPr>
      <w:r>
        <w:rPr>
          <w:rFonts w:cs="仿宋"/>
        </w:rPr>
        <w:t>4</w:t>
      </w:r>
      <w:r>
        <w:rPr>
          <w:rFonts w:hint="eastAsia" w:cs="仿宋"/>
        </w:rPr>
        <w:t>、资格审查资料</w:t>
      </w:r>
    </w:p>
    <w:p w14:paraId="6A28AFFE">
      <w:pPr>
        <w:spacing w:line="360" w:lineRule="auto"/>
        <w:ind w:firstLine="420" w:firstLineChars="200"/>
        <w:rPr>
          <w:rFonts w:cs="仿宋"/>
        </w:rPr>
      </w:pPr>
      <w:r>
        <w:rPr>
          <w:rFonts w:cs="仿宋"/>
        </w:rPr>
        <w:t>5</w:t>
      </w:r>
      <w:r>
        <w:rPr>
          <w:rFonts w:hint="eastAsia" w:cs="仿宋"/>
        </w:rPr>
        <w:t>、报价表</w:t>
      </w:r>
    </w:p>
    <w:p w14:paraId="36A3DAB7">
      <w:pPr>
        <w:spacing w:line="360" w:lineRule="auto"/>
        <w:ind w:firstLine="420" w:firstLineChars="200"/>
        <w:rPr>
          <w:rFonts w:cs="仿宋"/>
        </w:rPr>
      </w:pPr>
      <w:r>
        <w:rPr>
          <w:rFonts w:cs="仿宋"/>
        </w:rPr>
        <w:t>6</w:t>
      </w:r>
      <w:r>
        <w:rPr>
          <w:rFonts w:hint="eastAsia" w:cs="仿宋"/>
        </w:rPr>
        <w:t>、服务保障方案</w:t>
      </w:r>
    </w:p>
    <w:p w14:paraId="65BB0971">
      <w:pPr>
        <w:spacing w:line="360" w:lineRule="auto"/>
        <w:ind w:firstLine="420" w:firstLineChars="200"/>
        <w:rPr>
          <w:rFonts w:cs="仿宋"/>
        </w:rPr>
      </w:pPr>
      <w:r>
        <w:rPr>
          <w:rFonts w:hint="eastAsia" w:cs="仿宋"/>
        </w:rPr>
        <w:t>7、商务或技术偏差表</w:t>
      </w:r>
    </w:p>
    <w:p w14:paraId="1F3F1500">
      <w:pPr>
        <w:spacing w:line="360" w:lineRule="auto"/>
        <w:ind w:firstLine="420" w:firstLineChars="200"/>
        <w:rPr>
          <w:rFonts w:cs="仿宋"/>
        </w:rPr>
      </w:pPr>
      <w:r>
        <w:rPr>
          <w:rFonts w:hint="eastAsia" w:cs="仿宋"/>
        </w:rPr>
        <w:t>8、供应商认为应补充的其它资料</w:t>
      </w:r>
    </w:p>
    <w:p w14:paraId="1E4C010C">
      <w:pPr>
        <w:jc w:val="center"/>
        <w:rPr>
          <w:sz w:val="28"/>
          <w:szCs w:val="28"/>
        </w:rPr>
      </w:pPr>
      <w:r>
        <w:rPr>
          <w:rFonts w:hint="eastAsia"/>
          <w:sz w:val="28"/>
          <w:szCs w:val="28"/>
        </w:rPr>
        <w:t>第一部分：商务部分</w:t>
      </w:r>
    </w:p>
    <w:p w14:paraId="07D13FBC">
      <w:pPr>
        <w:spacing w:line="300" w:lineRule="auto"/>
        <w:jc w:val="center"/>
        <w:rPr>
          <w:rFonts w:ascii="Times New Roman" w:hAnsi="Times New Roman"/>
          <w:b/>
        </w:rPr>
      </w:pPr>
    </w:p>
    <w:p w14:paraId="06752775">
      <w:pPr>
        <w:pStyle w:val="5"/>
        <w:spacing w:before="0" w:after="0" w:line="300" w:lineRule="auto"/>
        <w:jc w:val="left"/>
        <w:rPr>
          <w:b w:val="0"/>
          <w:bCs w:val="0"/>
          <w:sz w:val="24"/>
          <w:szCs w:val="24"/>
        </w:rPr>
      </w:pPr>
      <w:r>
        <w:rPr>
          <w:rFonts w:hint="eastAsia"/>
          <w:b w:val="0"/>
          <w:bCs w:val="0"/>
          <w:sz w:val="24"/>
          <w:szCs w:val="24"/>
        </w:rPr>
        <w:t>1、报价函</w:t>
      </w:r>
    </w:p>
    <w:p w14:paraId="1F703020">
      <w:pPr>
        <w:spacing w:line="300" w:lineRule="auto"/>
        <w:rPr>
          <w:rFonts w:ascii="Times New Roman" w:hAnsi="Times New Roman"/>
          <w:szCs w:val="21"/>
        </w:rPr>
      </w:pPr>
      <w:r>
        <w:rPr>
          <w:rFonts w:ascii="Times New Roman" w:hAnsi="Times New Roman"/>
          <w:szCs w:val="21"/>
          <w:u w:val="single"/>
        </w:rPr>
        <w:t xml:space="preserve">                        </w:t>
      </w:r>
      <w:r>
        <w:rPr>
          <w:rFonts w:hint="eastAsia" w:ascii="Times New Roman" w:hAnsi="Times New Roman"/>
          <w:szCs w:val="21"/>
        </w:rPr>
        <w:t>（采购人名称）：</w:t>
      </w:r>
    </w:p>
    <w:p w14:paraId="7A29A2F0">
      <w:pPr>
        <w:spacing w:line="300" w:lineRule="auto"/>
        <w:ind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．我方已仔细研究了</w:t>
      </w:r>
      <w:r>
        <w:rPr>
          <w:rFonts w:ascii="Times New Roman" w:hAnsi="Times New Roman"/>
          <w:szCs w:val="21"/>
          <w:u w:val="single"/>
        </w:rPr>
        <w:t xml:space="preserve">          </w:t>
      </w:r>
      <w:r>
        <w:rPr>
          <w:rFonts w:hint="eastAsia" w:ascii="Times New Roman" w:hAnsi="Times New Roman"/>
          <w:szCs w:val="21"/>
        </w:rPr>
        <w:t>（项目名称）谈判文件的全部内容，愿意以人民币（大写）</w:t>
      </w:r>
      <w:r>
        <w:rPr>
          <w:rFonts w:ascii="Times New Roman" w:hAnsi="Times New Roman"/>
          <w:szCs w:val="21"/>
          <w:u w:val="single"/>
        </w:rPr>
        <w:t xml:space="preserve">         </w:t>
      </w:r>
      <w:r>
        <w:rPr>
          <w:rFonts w:hint="eastAsia" w:ascii="Times New Roman" w:hAnsi="Times New Roman"/>
          <w:szCs w:val="21"/>
        </w:rPr>
        <w:t>（</w:t>
      </w:r>
      <w:r>
        <w:rPr>
          <w:rFonts w:ascii="Times New Roman" w:hAnsi="Times New Roman"/>
          <w:szCs w:val="21"/>
        </w:rPr>
        <w:t>¥</w:t>
      </w:r>
      <w:r>
        <w:rPr>
          <w:rFonts w:ascii="Times New Roman" w:hAnsi="Times New Roman"/>
          <w:szCs w:val="21"/>
          <w:u w:val="single"/>
        </w:rPr>
        <w:t xml:space="preserve">           </w:t>
      </w:r>
      <w:r>
        <w:rPr>
          <w:rFonts w:hint="eastAsia" w:ascii="Times New Roman" w:hAnsi="Times New Roman"/>
          <w:szCs w:val="21"/>
        </w:rPr>
        <w:t>）的总报价，按合同约定</w:t>
      </w:r>
      <w:r>
        <w:rPr>
          <w:rFonts w:hint="eastAsia"/>
        </w:rPr>
        <w:t>履行所有义务</w:t>
      </w:r>
      <w:r>
        <w:rPr>
          <w:rFonts w:hint="eastAsia" w:ascii="Times New Roman" w:hAnsi="Times New Roman"/>
          <w:szCs w:val="21"/>
        </w:rPr>
        <w:t>。</w:t>
      </w:r>
    </w:p>
    <w:p w14:paraId="5320A038">
      <w:pPr>
        <w:spacing w:line="300" w:lineRule="auto"/>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．我方承诺在谈判文件规定的谈判有效期内不修改、撤销响应文件。</w:t>
      </w:r>
    </w:p>
    <w:p w14:paraId="2F9D655B">
      <w:pPr>
        <w:spacing w:line="300" w:lineRule="auto"/>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．如我方成交：</w:t>
      </w:r>
    </w:p>
    <w:p w14:paraId="6D6A17A2">
      <w:pPr>
        <w:spacing w:line="300" w:lineRule="auto"/>
        <w:ind w:firstLine="718" w:firstLineChars="342"/>
        <w:rPr>
          <w:rFonts w:ascii="Times New Roman" w:hAnsi="Times New Roman"/>
          <w:szCs w:val="21"/>
        </w:rPr>
      </w:pP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）我方承诺在收到成交通知书后，在成交通知书规定的期限内与你方签订合同。</w:t>
      </w:r>
    </w:p>
    <w:p w14:paraId="265EFA5F">
      <w:pPr>
        <w:spacing w:line="300" w:lineRule="auto"/>
        <w:ind w:firstLine="718" w:firstLineChars="342"/>
        <w:rPr>
          <w:rFonts w:ascii="Times New Roman" w:hAnsi="Times New Roman"/>
          <w:szCs w:val="21"/>
        </w:rPr>
      </w:pPr>
      <w:r>
        <w:rPr>
          <w:rFonts w:hint="eastAsia" w:ascii="Times New Roman" w:hAnsi="Times New Roman"/>
          <w:szCs w:val="21"/>
        </w:rPr>
        <w:t>（</w:t>
      </w:r>
      <w:r>
        <w:rPr>
          <w:rFonts w:ascii="Times New Roman" w:hAnsi="Times New Roman"/>
          <w:szCs w:val="21"/>
        </w:rPr>
        <w:t>2</w:t>
      </w:r>
      <w:r>
        <w:rPr>
          <w:rFonts w:hint="eastAsia" w:ascii="Times New Roman" w:hAnsi="Times New Roman"/>
          <w:szCs w:val="21"/>
        </w:rPr>
        <w:t>）随同本报价函递交的报价函附录属于合同文件的组成部分。</w:t>
      </w:r>
    </w:p>
    <w:p w14:paraId="338ED6B0">
      <w:pPr>
        <w:spacing w:line="300" w:lineRule="auto"/>
        <w:ind w:firstLine="718" w:firstLineChars="342"/>
        <w:rPr>
          <w:rFonts w:ascii="Times New Roman" w:hAnsi="Times New Roman"/>
          <w:szCs w:val="21"/>
        </w:rPr>
      </w:pPr>
      <w:r>
        <w:rPr>
          <w:rFonts w:hint="eastAsia" w:ascii="Times New Roman" w:hAnsi="Times New Roman"/>
          <w:szCs w:val="21"/>
        </w:rPr>
        <w:t>（</w:t>
      </w:r>
      <w:r>
        <w:rPr>
          <w:rFonts w:ascii="Times New Roman" w:hAnsi="Times New Roman"/>
          <w:szCs w:val="21"/>
        </w:rPr>
        <w:t>3</w:t>
      </w:r>
      <w:r>
        <w:rPr>
          <w:rFonts w:hint="eastAsia" w:ascii="Times New Roman" w:hAnsi="Times New Roman"/>
          <w:szCs w:val="21"/>
        </w:rPr>
        <w:t>）我方承诺按照谈判文件规定向你方递交履约担保。</w:t>
      </w:r>
    </w:p>
    <w:p w14:paraId="7330F274">
      <w:pPr>
        <w:spacing w:line="300" w:lineRule="auto"/>
        <w:ind w:firstLine="718" w:firstLineChars="342"/>
        <w:rPr>
          <w:rFonts w:ascii="Times New Roman" w:hAnsi="Times New Roman"/>
          <w:szCs w:val="21"/>
        </w:rPr>
      </w:pPr>
      <w:r>
        <w:rPr>
          <w:rFonts w:hint="eastAsia" w:ascii="Times New Roman" w:hAnsi="Times New Roman"/>
          <w:szCs w:val="21"/>
        </w:rPr>
        <w:t>（</w:t>
      </w:r>
      <w:r>
        <w:rPr>
          <w:rFonts w:ascii="Times New Roman" w:hAnsi="Times New Roman"/>
          <w:szCs w:val="21"/>
        </w:rPr>
        <w:t>4</w:t>
      </w:r>
      <w:r>
        <w:rPr>
          <w:rFonts w:hint="eastAsia" w:ascii="Times New Roman" w:hAnsi="Times New Roman"/>
          <w:szCs w:val="21"/>
        </w:rPr>
        <w:t>）我方承诺在合同约定的期限交付货物。</w:t>
      </w:r>
    </w:p>
    <w:p w14:paraId="2D1EFF80">
      <w:pPr>
        <w:spacing w:line="300" w:lineRule="auto"/>
        <w:ind w:firstLine="420" w:firstLineChars="200"/>
        <w:rPr>
          <w:rFonts w:ascii="Times New Roman" w:hAnsi="Times New Roman"/>
        </w:rPr>
      </w:pPr>
      <w:r>
        <w:rPr>
          <w:rFonts w:hint="eastAsia" w:ascii="Times New Roman" w:hAnsi="Times New Roman"/>
          <w:szCs w:val="21"/>
          <w:lang w:val="en-US" w:eastAsia="zh-CN"/>
        </w:rPr>
        <w:t>4</w:t>
      </w:r>
      <w:r>
        <w:rPr>
          <w:rFonts w:hint="eastAsia" w:ascii="Times New Roman" w:hAnsi="Times New Roman"/>
          <w:szCs w:val="21"/>
        </w:rPr>
        <w:t>．</w:t>
      </w:r>
      <w:r>
        <w:rPr>
          <w:rFonts w:hint="eastAsia" w:ascii="Times New Roman" w:hAnsi="Times New Roman"/>
        </w:rPr>
        <w:t>我方在此声明，所递交的响应文件及有关资料内容完整、真实和准确。</w:t>
      </w:r>
    </w:p>
    <w:p w14:paraId="25E9A707">
      <w:pPr>
        <w:spacing w:line="300" w:lineRule="auto"/>
        <w:ind w:firstLine="420" w:firstLineChars="200"/>
        <w:rPr>
          <w:rFonts w:ascii="Times New Roman" w:hAnsi="Times New Roman"/>
          <w:szCs w:val="21"/>
        </w:rPr>
      </w:pPr>
      <w:r>
        <w:rPr>
          <w:rFonts w:hint="eastAsia" w:ascii="Times New Roman" w:hAnsi="Times New Roman"/>
          <w:lang w:val="en-US" w:eastAsia="zh-CN"/>
        </w:rPr>
        <w:t>5</w:t>
      </w:r>
      <w:r>
        <w:rPr>
          <w:rFonts w:ascii="Times New Roman" w:hAnsi="Times New Roman"/>
        </w:rPr>
        <w:t>.</w:t>
      </w:r>
      <w:r>
        <w:rPr>
          <w:rFonts w:ascii="Times New Roman" w:hAnsi="Times New Roman" w:eastAsia="仿宋_GB2312"/>
          <w:sz w:val="28"/>
        </w:rPr>
        <w:t xml:space="preserve"> </w:t>
      </w:r>
      <w:r>
        <w:rPr>
          <w:rFonts w:hint="eastAsia" w:ascii="Times New Roman" w:hAnsi="Times New Roman"/>
        </w:rPr>
        <w:t>我方承诺参加谈判活动近三年内无违法犯罪及其它不良行为记录，如有经行政主管部门查实或通报的不良记录，我方放弃参加本次项目谈判的权利，并无条件承担相应后果和损失。</w:t>
      </w:r>
    </w:p>
    <w:p w14:paraId="474A620C">
      <w:pPr>
        <w:spacing w:line="300" w:lineRule="auto"/>
        <w:ind w:firstLine="420" w:firstLineChars="200"/>
        <w:rPr>
          <w:rFonts w:ascii="Times New Roman" w:hAnsi="Times New Roman"/>
          <w:szCs w:val="21"/>
        </w:rPr>
      </w:pPr>
      <w:r>
        <w:rPr>
          <w:rFonts w:hint="eastAsia" w:ascii="Times New Roman" w:hAnsi="Times New Roman"/>
          <w:szCs w:val="21"/>
          <w:lang w:val="en-US" w:eastAsia="zh-CN"/>
        </w:rPr>
        <w:t>6</w:t>
      </w:r>
      <w:r>
        <w:rPr>
          <w:rFonts w:hint="eastAsia" w:ascii="Times New Roman" w:hAnsi="Times New Roman"/>
          <w:szCs w:val="21"/>
        </w:rPr>
        <w:t>．</w:t>
      </w:r>
      <w:r>
        <w:rPr>
          <w:rFonts w:ascii="Times New Roman" w:hAnsi="Times New Roman"/>
          <w:szCs w:val="21"/>
          <w:u w:val="single"/>
        </w:rPr>
        <w:t xml:space="preserve">                                       </w:t>
      </w:r>
      <w:r>
        <w:rPr>
          <w:rFonts w:hint="eastAsia" w:ascii="Times New Roman" w:hAnsi="Times New Roman"/>
          <w:szCs w:val="21"/>
        </w:rPr>
        <w:t>（其他补充说明）。</w:t>
      </w:r>
    </w:p>
    <w:p w14:paraId="087EE22F">
      <w:pPr>
        <w:spacing w:line="300" w:lineRule="auto"/>
        <w:rPr>
          <w:rFonts w:ascii="Times New Roman" w:hAnsi="Times New Roman"/>
          <w:szCs w:val="21"/>
        </w:rPr>
      </w:pPr>
      <w:r>
        <w:rPr>
          <w:rFonts w:hint="eastAsia" w:ascii="Times New Roman" w:hAnsi="Times New Roman"/>
          <w:szCs w:val="21"/>
        </w:rPr>
        <w:t>供应商：</w:t>
      </w:r>
      <w:r>
        <w:rPr>
          <w:rFonts w:ascii="Times New Roman" w:hAnsi="Times New Roman"/>
          <w:szCs w:val="21"/>
          <w:u w:val="single"/>
        </w:rPr>
        <w:t xml:space="preserve">                      </w:t>
      </w:r>
      <w:r>
        <w:rPr>
          <w:rFonts w:hint="eastAsia" w:ascii="Times New Roman" w:hAnsi="Times New Roman"/>
          <w:szCs w:val="21"/>
        </w:rPr>
        <w:t>（盖单位章）</w:t>
      </w:r>
    </w:p>
    <w:p w14:paraId="4F5783D1">
      <w:pPr>
        <w:spacing w:line="300" w:lineRule="auto"/>
        <w:rPr>
          <w:rFonts w:ascii="Times New Roman" w:hAnsi="Times New Roman"/>
          <w:szCs w:val="21"/>
        </w:rPr>
      </w:pPr>
      <w:r>
        <w:rPr>
          <w:rFonts w:hint="eastAsia" w:ascii="Times New Roman" w:hAnsi="Times New Roman"/>
          <w:szCs w:val="21"/>
        </w:rPr>
        <w:t>法定代表人：</w:t>
      </w:r>
      <w:r>
        <w:rPr>
          <w:rFonts w:ascii="Times New Roman" w:hAnsi="Times New Roman"/>
          <w:szCs w:val="21"/>
          <w:u w:val="single"/>
        </w:rPr>
        <w:t xml:space="preserve">                    </w:t>
      </w:r>
      <w:r>
        <w:rPr>
          <w:rFonts w:hint="eastAsia" w:ascii="Times New Roman" w:hAnsi="Times New Roman"/>
          <w:szCs w:val="21"/>
        </w:rPr>
        <w:t>（签字并盖章）</w:t>
      </w:r>
    </w:p>
    <w:p w14:paraId="06672264">
      <w:pPr>
        <w:spacing w:line="300" w:lineRule="auto"/>
        <w:rPr>
          <w:rFonts w:ascii="Times New Roman" w:hAnsi="Times New Roman"/>
          <w:szCs w:val="21"/>
        </w:rPr>
      </w:pPr>
      <w:r>
        <w:rPr>
          <w:rFonts w:hint="eastAsia" w:ascii="Times New Roman" w:hAnsi="Times New Roman"/>
          <w:szCs w:val="21"/>
        </w:rPr>
        <w:t>委托代理人：</w:t>
      </w:r>
      <w:r>
        <w:rPr>
          <w:rFonts w:ascii="Times New Roman" w:hAnsi="Times New Roman"/>
          <w:szCs w:val="21"/>
          <w:u w:val="single"/>
        </w:rPr>
        <w:t xml:space="preserve">                    </w:t>
      </w:r>
      <w:r>
        <w:rPr>
          <w:rFonts w:hint="eastAsia" w:ascii="Times New Roman" w:hAnsi="Times New Roman"/>
          <w:szCs w:val="21"/>
        </w:rPr>
        <w:t>（签字）</w:t>
      </w:r>
    </w:p>
    <w:p w14:paraId="61D7280E">
      <w:pPr>
        <w:spacing w:line="300" w:lineRule="auto"/>
        <w:rPr>
          <w:rFonts w:ascii="Times New Roman" w:hAnsi="Times New Roman"/>
          <w:szCs w:val="21"/>
        </w:rPr>
      </w:pPr>
      <w:r>
        <w:rPr>
          <w:rFonts w:hint="eastAsia" w:ascii="Times New Roman" w:hAnsi="Times New Roman"/>
          <w:szCs w:val="21"/>
        </w:rPr>
        <w:t>地址：</w:t>
      </w:r>
      <w:r>
        <w:rPr>
          <w:rFonts w:ascii="Times New Roman" w:hAnsi="Times New Roman"/>
          <w:szCs w:val="21"/>
          <w:u w:val="single"/>
        </w:rPr>
        <w:t xml:space="preserve">                                     </w:t>
      </w:r>
    </w:p>
    <w:p w14:paraId="2049B701">
      <w:pPr>
        <w:spacing w:line="300" w:lineRule="auto"/>
        <w:rPr>
          <w:rFonts w:ascii="Times New Roman" w:hAnsi="Times New Roman"/>
          <w:szCs w:val="21"/>
        </w:rPr>
      </w:pPr>
      <w:r>
        <w:rPr>
          <w:rFonts w:hint="eastAsia" w:ascii="Times New Roman" w:hAnsi="Times New Roman"/>
          <w:szCs w:val="21"/>
        </w:rPr>
        <w:t>网址：</w:t>
      </w:r>
      <w:r>
        <w:rPr>
          <w:rFonts w:ascii="Times New Roman" w:hAnsi="Times New Roman"/>
          <w:szCs w:val="21"/>
          <w:u w:val="single"/>
        </w:rPr>
        <w:t xml:space="preserve">                                     </w:t>
      </w:r>
    </w:p>
    <w:p w14:paraId="45CF7A77">
      <w:pPr>
        <w:spacing w:line="300" w:lineRule="auto"/>
        <w:rPr>
          <w:rFonts w:ascii="Times New Roman" w:hAnsi="Times New Roman"/>
          <w:szCs w:val="21"/>
        </w:rPr>
      </w:pPr>
      <w:r>
        <w:rPr>
          <w:rFonts w:hint="eastAsia" w:ascii="Times New Roman" w:hAnsi="Times New Roman"/>
          <w:szCs w:val="21"/>
        </w:rPr>
        <w:t>电话：</w:t>
      </w:r>
      <w:r>
        <w:rPr>
          <w:rFonts w:ascii="Times New Roman" w:hAnsi="Times New Roman"/>
          <w:szCs w:val="21"/>
          <w:u w:val="single"/>
        </w:rPr>
        <w:t xml:space="preserve">                                     </w:t>
      </w:r>
    </w:p>
    <w:p w14:paraId="54104918">
      <w:pPr>
        <w:spacing w:line="300" w:lineRule="auto"/>
        <w:rPr>
          <w:rFonts w:ascii="Times New Roman" w:hAnsi="Times New Roman"/>
          <w:szCs w:val="21"/>
        </w:rPr>
      </w:pPr>
      <w:r>
        <w:rPr>
          <w:rFonts w:hint="eastAsia" w:ascii="Times New Roman" w:hAnsi="Times New Roman"/>
          <w:szCs w:val="21"/>
        </w:rPr>
        <w:t>传真：</w:t>
      </w:r>
      <w:r>
        <w:rPr>
          <w:rFonts w:ascii="Times New Roman" w:hAnsi="Times New Roman"/>
          <w:szCs w:val="21"/>
          <w:u w:val="single"/>
        </w:rPr>
        <w:t xml:space="preserve">                                     </w:t>
      </w:r>
    </w:p>
    <w:p w14:paraId="2807C1FE">
      <w:pPr>
        <w:spacing w:line="300" w:lineRule="auto"/>
        <w:rPr>
          <w:rFonts w:ascii="Times New Roman" w:hAnsi="Times New Roman"/>
          <w:szCs w:val="21"/>
        </w:rPr>
      </w:pPr>
      <w:r>
        <w:rPr>
          <w:rFonts w:hint="eastAsia" w:ascii="Times New Roman" w:hAnsi="Times New Roman"/>
          <w:szCs w:val="21"/>
        </w:rPr>
        <w:t>邮政编码：</w:t>
      </w:r>
      <w:r>
        <w:rPr>
          <w:rFonts w:ascii="Times New Roman" w:hAnsi="Times New Roman"/>
          <w:szCs w:val="21"/>
          <w:u w:val="single"/>
        </w:rPr>
        <w:t xml:space="preserve">                                 </w:t>
      </w:r>
    </w:p>
    <w:p w14:paraId="286E5467">
      <w:pPr>
        <w:spacing w:line="300" w:lineRule="auto"/>
        <w:ind w:firstLine="105" w:firstLineChars="50"/>
        <w:jc w:val="right"/>
        <w:rPr>
          <w:rFonts w:ascii="Times New Roman" w:hAnsi="Times New Roman"/>
          <w:szCs w:val="21"/>
          <w:u w:val="single"/>
        </w:rPr>
      </w:pPr>
    </w:p>
    <w:p w14:paraId="34ABC9F9">
      <w:pPr>
        <w:spacing w:line="300" w:lineRule="auto"/>
        <w:ind w:firstLine="105" w:firstLineChars="50"/>
        <w:jc w:val="right"/>
        <w:rPr>
          <w:rFonts w:ascii="Times New Roman" w:hAnsi="Times New Roman"/>
          <w:szCs w:val="21"/>
        </w:rPr>
      </w:pPr>
      <w:r>
        <w:rPr>
          <w:rFonts w:hint="eastAsia" w:ascii="Times New Roman" w:hAnsi="Times New Roman"/>
          <w:szCs w:val="21"/>
        </w:rPr>
        <w:t xml:space="preserve">               </w:t>
      </w:r>
      <w:r>
        <w:rPr>
          <w:rFonts w:hint="eastAsia" w:ascii="Times New Roman" w:hAnsi="Times New Roman"/>
          <w:szCs w:val="21"/>
          <w:u w:val="single"/>
        </w:rPr>
        <w:t xml:space="preserve">    </w:t>
      </w:r>
      <w:r>
        <w:rPr>
          <w:rFonts w:hint="eastAsia" w:ascii="Times New Roman" w:hAnsi="Times New Roman"/>
          <w:szCs w:val="21"/>
        </w:rPr>
        <w:t>年</w:t>
      </w:r>
      <w:r>
        <w:rPr>
          <w:rFonts w:ascii="Times New Roman" w:hAnsi="Times New Roman"/>
          <w:szCs w:val="21"/>
          <w:u w:val="single"/>
        </w:rPr>
        <w:t xml:space="preserve">    </w:t>
      </w:r>
      <w:r>
        <w:rPr>
          <w:rFonts w:hint="eastAsia" w:ascii="Times New Roman" w:hAnsi="Times New Roman"/>
          <w:szCs w:val="21"/>
        </w:rPr>
        <w:t>月</w:t>
      </w:r>
      <w:r>
        <w:rPr>
          <w:rFonts w:ascii="Times New Roman" w:hAnsi="Times New Roman"/>
          <w:szCs w:val="21"/>
          <w:u w:val="single"/>
        </w:rPr>
        <w:t xml:space="preserve">   </w:t>
      </w:r>
      <w:r>
        <w:rPr>
          <w:rFonts w:hint="eastAsia" w:ascii="Times New Roman" w:hAnsi="Times New Roman"/>
          <w:szCs w:val="21"/>
        </w:rPr>
        <w:t>日</w:t>
      </w:r>
    </w:p>
    <w:p w14:paraId="5CCE12AD">
      <w:pPr>
        <w:keepNext/>
        <w:keepLines/>
        <w:spacing w:beforeLines="100" w:after="120" w:line="520" w:lineRule="exact"/>
        <w:ind w:right="601"/>
        <w:outlineLvl w:val="1"/>
        <w:rPr>
          <w:rFonts w:cs="仿宋"/>
        </w:rPr>
      </w:pPr>
      <w:r>
        <w:rPr>
          <w:rFonts w:hint="eastAsia" w:cs="仿宋"/>
        </w:rPr>
        <w:t>2、</w:t>
      </w:r>
      <w:r>
        <w:rPr>
          <w:rFonts w:hint="eastAsia" w:cs="仿宋"/>
          <w:lang w:val="zh-TW" w:eastAsia="zh-TW"/>
        </w:rPr>
        <w:t>法定代表人身份证明</w:t>
      </w:r>
    </w:p>
    <w:p w14:paraId="77B2C3EC">
      <w:pPr>
        <w:pStyle w:val="4"/>
        <w:spacing w:before="0" w:after="0" w:line="300" w:lineRule="auto"/>
        <w:jc w:val="center"/>
        <w:rPr>
          <w:rFonts w:ascii="仿宋" w:hAnsi="仿宋" w:eastAsia="仿宋" w:cs="MingLiU"/>
          <w:sz w:val="30"/>
          <w:szCs w:val="30"/>
          <w:shd w:val="clear" w:color="auto" w:fill="FFFFFF"/>
          <w:lang w:val="zh-TW" w:eastAsia="zh-TW" w:bidi="zh-TW"/>
        </w:rPr>
      </w:pPr>
      <w:r>
        <w:rPr>
          <w:rFonts w:hint="eastAsia" w:ascii="Times New Roman" w:hAnsi="Times New Roman"/>
          <w:b w:val="0"/>
          <w:bCs w:val="0"/>
          <w:lang w:val="zh-TW" w:eastAsia="zh-TW"/>
        </w:rPr>
        <w:t>法定代表人身份证明</w:t>
      </w:r>
      <w:r>
        <w:rPr>
          <w:rFonts w:hint="eastAsia" w:ascii="仿宋" w:hAnsi="仿宋" w:eastAsia="仿宋" w:cs="MingLiU"/>
          <w:sz w:val="30"/>
          <w:szCs w:val="30"/>
          <w:shd w:val="clear" w:color="auto" w:fill="FFFFFF"/>
          <w:lang w:val="zh-TW" w:eastAsia="zh-TW" w:bidi="zh-TW"/>
        </w:rPr>
        <w:t>(适用于法定代表人</w:t>
      </w:r>
      <w:r>
        <w:rPr>
          <w:rFonts w:hint="eastAsia" w:ascii="仿宋" w:hAnsi="仿宋" w:eastAsia="仿宋" w:cs="MingLiU"/>
          <w:sz w:val="30"/>
          <w:szCs w:val="30"/>
          <w:shd w:val="clear" w:color="auto" w:fill="FFFFFF"/>
          <w:lang w:bidi="zh-TW"/>
        </w:rPr>
        <w:t>谈判</w:t>
      </w:r>
      <w:r>
        <w:rPr>
          <w:rFonts w:hint="eastAsia" w:ascii="仿宋" w:hAnsi="仿宋" w:eastAsia="仿宋" w:cs="MingLiU"/>
          <w:sz w:val="30"/>
          <w:szCs w:val="30"/>
          <w:shd w:val="clear" w:color="auto" w:fill="FFFFFF"/>
          <w:lang w:val="zh-TW" w:eastAsia="zh-TW" w:bidi="zh-TW"/>
        </w:rPr>
        <w:t>时)</w:t>
      </w:r>
    </w:p>
    <w:p w14:paraId="2050610B">
      <w:pPr>
        <w:tabs>
          <w:tab w:val="left" w:leader="underscore" w:pos="3773"/>
        </w:tabs>
        <w:spacing w:beforeLines="100" w:line="520" w:lineRule="exact"/>
        <w:rPr>
          <w:rFonts w:ascii="仿宋" w:hAnsi="仿宋" w:eastAsia="仿宋"/>
          <w:sz w:val="28"/>
          <w:szCs w:val="28"/>
        </w:rPr>
      </w:pPr>
      <w:r>
        <w:rPr>
          <w:rFonts w:hint="eastAsia"/>
        </w:rPr>
        <w:t>供应商名称：</w:t>
      </w:r>
      <w:r>
        <w:rPr>
          <w:rFonts w:ascii="仿宋" w:hAnsi="仿宋" w:eastAsia="仿宋"/>
          <w:sz w:val="28"/>
          <w:szCs w:val="28"/>
        </w:rPr>
        <w:tab/>
      </w:r>
    </w:p>
    <w:p w14:paraId="252386BF">
      <w:pPr>
        <w:tabs>
          <w:tab w:val="left" w:leader="underscore" w:pos="2304"/>
          <w:tab w:val="left" w:leader="underscore" w:pos="3773"/>
          <w:tab w:val="left" w:leader="underscore" w:pos="5262"/>
          <w:tab w:val="left" w:leader="underscore" w:pos="6715"/>
        </w:tabs>
        <w:spacing w:line="520" w:lineRule="exact"/>
        <w:rPr>
          <w:rFonts w:ascii="仿宋" w:hAnsi="仿宋" w:eastAsia="仿宋"/>
          <w:sz w:val="28"/>
          <w:szCs w:val="28"/>
        </w:rPr>
      </w:pPr>
      <w:r>
        <w:rPr>
          <w:rFonts w:hint="eastAsia"/>
        </w:rPr>
        <w:t>姓名</w:t>
      </w:r>
      <w:r>
        <w:rPr>
          <w:rFonts w:ascii="仿宋" w:hAnsi="仿宋" w:eastAsia="仿宋"/>
          <w:sz w:val="28"/>
          <w:szCs w:val="28"/>
        </w:rPr>
        <w:t>：</w:t>
      </w:r>
      <w:r>
        <w:rPr>
          <w:rFonts w:ascii="仿宋" w:hAnsi="仿宋" w:eastAsia="仿宋"/>
          <w:sz w:val="28"/>
          <w:szCs w:val="28"/>
        </w:rPr>
        <w:tab/>
      </w:r>
      <w:r>
        <w:rPr>
          <w:rFonts w:hint="eastAsia"/>
        </w:rPr>
        <w:t>性别：</w:t>
      </w:r>
      <w:r>
        <w:rPr>
          <w:rFonts w:ascii="仿宋" w:hAnsi="仿宋" w:eastAsia="仿宋"/>
          <w:sz w:val="28"/>
          <w:szCs w:val="28"/>
        </w:rPr>
        <w:tab/>
      </w:r>
      <w:r>
        <w:rPr>
          <w:rFonts w:hint="eastAsia"/>
        </w:rPr>
        <w:t>年龄</w:t>
      </w:r>
      <w:r>
        <w:rPr>
          <w:rFonts w:ascii="仿宋" w:hAnsi="仿宋" w:eastAsia="仿宋"/>
          <w:sz w:val="28"/>
          <w:szCs w:val="28"/>
        </w:rPr>
        <w:t>：</w:t>
      </w:r>
      <w:r>
        <w:rPr>
          <w:rFonts w:ascii="仿宋" w:hAnsi="仿宋" w:eastAsia="仿宋"/>
          <w:sz w:val="28"/>
          <w:szCs w:val="28"/>
        </w:rPr>
        <w:tab/>
      </w:r>
      <w:r>
        <w:rPr>
          <w:rFonts w:hint="eastAsia"/>
        </w:rPr>
        <w:t>职务：</w:t>
      </w:r>
      <w:r>
        <w:rPr>
          <w:rFonts w:ascii="仿宋" w:hAnsi="仿宋" w:eastAsia="仿宋"/>
          <w:sz w:val="28"/>
          <w:szCs w:val="28"/>
        </w:rPr>
        <w:tab/>
      </w:r>
    </w:p>
    <w:p w14:paraId="0CCF6062">
      <w:pPr>
        <w:tabs>
          <w:tab w:val="left" w:leader="underscore" w:pos="2731"/>
        </w:tabs>
        <w:spacing w:line="520" w:lineRule="exact"/>
        <w:rPr>
          <w:rFonts w:ascii="仿宋" w:hAnsi="仿宋" w:eastAsia="仿宋"/>
          <w:sz w:val="28"/>
          <w:szCs w:val="28"/>
        </w:rPr>
      </w:pPr>
      <w:r>
        <w:rPr>
          <w:rFonts w:hint="eastAsia"/>
        </w:rPr>
        <w:t>系</w:t>
      </w:r>
      <w:r>
        <w:rPr>
          <w:rFonts w:ascii="仿宋" w:hAnsi="仿宋" w:eastAsia="仿宋"/>
          <w:sz w:val="28"/>
          <w:szCs w:val="28"/>
        </w:rPr>
        <w:tab/>
      </w:r>
      <w:r>
        <w:rPr>
          <w:rFonts w:ascii="仿宋" w:hAnsi="仿宋" w:eastAsia="仿宋"/>
          <w:sz w:val="28"/>
          <w:szCs w:val="28"/>
        </w:rPr>
        <w:t>(</w:t>
      </w:r>
      <w:r>
        <w:rPr>
          <w:rFonts w:hint="eastAsia"/>
        </w:rPr>
        <w:t>供应商名称）的法定代表人（单位负责人)</w:t>
      </w:r>
    </w:p>
    <w:p w14:paraId="10DDA9E1">
      <w:pPr>
        <w:tabs>
          <w:tab w:val="left" w:leader="underscore" w:pos="2731"/>
        </w:tabs>
        <w:spacing w:line="520" w:lineRule="exact"/>
      </w:pPr>
      <w:r>
        <w:rPr>
          <w:rFonts w:hint="eastAsia"/>
        </w:rPr>
        <w:t>特此证明。</w:t>
      </w:r>
    </w:p>
    <w:p w14:paraId="12FEFDEB">
      <w:pPr>
        <w:tabs>
          <w:tab w:val="left" w:leader="underscore" w:pos="2731"/>
        </w:tabs>
        <w:spacing w:line="520" w:lineRule="exact"/>
      </w:pPr>
      <w:r>
        <w:rPr>
          <w:rFonts w:hint="eastAsia"/>
        </w:rPr>
        <w:t>附：法定代表人（单位负责人）身份证复印件。</w:t>
      </w:r>
    </w:p>
    <w:p w14:paraId="44B8E4B5">
      <w:pPr>
        <w:tabs>
          <w:tab w:val="left" w:leader="underscore" w:pos="2731"/>
        </w:tabs>
        <w:spacing w:line="520" w:lineRule="exact"/>
      </w:pPr>
      <w:r>
        <w:rPr>
          <w:rFonts w:hint="eastAsia"/>
        </w:rPr>
        <w:t>注：本身份证明需由供应商加盖单位公章。</w:t>
      </w:r>
    </w:p>
    <w:p w14:paraId="17A1B1F9">
      <w:pPr>
        <w:spacing w:after="1057" w:line="520" w:lineRule="exact"/>
        <w:rPr>
          <w:rFonts w:ascii="仿宋" w:hAnsi="仿宋" w:eastAsia="仿宋"/>
          <w:sz w:val="28"/>
          <w:szCs w:val="28"/>
        </w:rPr>
      </w:pPr>
    </w:p>
    <w:p w14:paraId="1020B93A">
      <w:pPr>
        <w:tabs>
          <w:tab w:val="left" w:leader="underscore" w:pos="6434"/>
        </w:tabs>
        <w:spacing w:after="642" w:line="520" w:lineRule="exact"/>
        <w:ind w:left="4140"/>
      </w:pPr>
      <w:r>
        <w:rPr>
          <w:rFonts w:hint="eastAsia"/>
          <w:spacing w:val="-10"/>
          <w:lang w:bidi="zh-TW"/>
        </w:rPr>
        <w:t>供应商</w:t>
      </w:r>
      <w:r>
        <w:rPr>
          <w:rFonts w:hint="eastAsia"/>
          <w:spacing w:val="-10"/>
          <w:lang w:val="zh-TW" w:eastAsia="zh-TW" w:bidi="zh-TW"/>
        </w:rPr>
        <w:t>：</w:t>
      </w:r>
      <w:r>
        <w:rPr>
          <w:rFonts w:hint="eastAsia"/>
        </w:rPr>
        <w:tab/>
      </w:r>
      <w:r>
        <w:rPr>
          <w:rFonts w:hint="eastAsia"/>
        </w:rPr>
        <w:t>(单位公章)</w:t>
      </w:r>
    </w:p>
    <w:p w14:paraId="19FB7903">
      <w:pPr>
        <w:tabs>
          <w:tab w:val="left" w:leader="underscore" w:pos="5262"/>
          <w:tab w:val="left" w:leader="underscore" w:pos="5980"/>
          <w:tab w:val="left" w:leader="underscore" w:pos="6958"/>
        </w:tabs>
        <w:spacing w:line="520" w:lineRule="exact"/>
        <w:ind w:left="4640"/>
      </w:pPr>
      <w:r>
        <w:rPr>
          <w:rFonts w:hint="eastAsia"/>
        </w:rPr>
        <w:t>年月日</w:t>
      </w:r>
    </w:p>
    <w:p w14:paraId="68834FE6">
      <w:pPr>
        <w:spacing w:line="360" w:lineRule="auto"/>
        <w:ind w:firstLine="400" w:firstLineChars="200"/>
        <w:rPr>
          <w:rFonts w:ascii="Times New Roman" w:hAnsi="Times New Roman" w:eastAsia="黑体"/>
          <w:sz w:val="20"/>
        </w:rPr>
      </w:pPr>
    </w:p>
    <w:p w14:paraId="1DA3DB05">
      <w:pPr>
        <w:pStyle w:val="16"/>
        <w:ind w:firstLine="400"/>
        <w:rPr>
          <w:rFonts w:eastAsia="黑体"/>
          <w:sz w:val="20"/>
        </w:rPr>
      </w:pPr>
    </w:p>
    <w:p w14:paraId="39404C39">
      <w:pPr>
        <w:pStyle w:val="16"/>
        <w:ind w:firstLine="400"/>
        <w:rPr>
          <w:rFonts w:eastAsia="黑体"/>
          <w:sz w:val="20"/>
        </w:rPr>
      </w:pPr>
    </w:p>
    <w:p w14:paraId="29424428">
      <w:pPr>
        <w:pStyle w:val="16"/>
        <w:ind w:firstLine="400"/>
        <w:rPr>
          <w:rFonts w:eastAsia="黑体"/>
          <w:sz w:val="20"/>
        </w:rPr>
      </w:pPr>
    </w:p>
    <w:p w14:paraId="30154620">
      <w:pPr>
        <w:pStyle w:val="16"/>
        <w:ind w:firstLine="400"/>
        <w:rPr>
          <w:rFonts w:eastAsia="黑体"/>
          <w:sz w:val="20"/>
        </w:rPr>
      </w:pPr>
    </w:p>
    <w:p w14:paraId="3BC6B04C">
      <w:pPr>
        <w:pStyle w:val="16"/>
        <w:ind w:firstLine="400"/>
        <w:rPr>
          <w:rFonts w:eastAsia="黑体"/>
          <w:sz w:val="20"/>
        </w:rPr>
      </w:pPr>
    </w:p>
    <w:p w14:paraId="477E29DA">
      <w:pPr>
        <w:pStyle w:val="16"/>
        <w:ind w:firstLine="400"/>
        <w:rPr>
          <w:rFonts w:eastAsia="黑体"/>
          <w:sz w:val="20"/>
        </w:rPr>
      </w:pPr>
    </w:p>
    <w:p w14:paraId="10188EEA">
      <w:pPr>
        <w:spacing w:line="360" w:lineRule="auto"/>
        <w:rPr>
          <w:rFonts w:cs="仿宋"/>
        </w:rPr>
      </w:pPr>
      <w:r>
        <w:rPr>
          <w:rFonts w:hint="eastAsia" w:cs="仿宋"/>
        </w:rPr>
        <w:br w:type="page"/>
      </w:r>
      <w:r>
        <w:rPr>
          <w:rFonts w:hint="eastAsia" w:cs="仿宋"/>
        </w:rPr>
        <w:t>3、授权委托书</w:t>
      </w:r>
    </w:p>
    <w:p w14:paraId="45A4E89E">
      <w:pPr>
        <w:pStyle w:val="4"/>
        <w:spacing w:before="0" w:after="0" w:line="300" w:lineRule="auto"/>
        <w:jc w:val="center"/>
        <w:rPr>
          <w:rFonts w:ascii="Times New Roman" w:hAnsi="Times New Roman"/>
          <w:b w:val="0"/>
          <w:bCs w:val="0"/>
        </w:rPr>
      </w:pPr>
      <w:r>
        <w:rPr>
          <w:rFonts w:hint="eastAsia" w:ascii="Times New Roman" w:hAnsi="Times New Roman"/>
          <w:b w:val="0"/>
          <w:bCs w:val="0"/>
        </w:rPr>
        <w:t>授权委托书</w:t>
      </w:r>
      <w:r>
        <w:rPr>
          <w:rFonts w:hint="eastAsia" w:ascii="仿宋" w:hAnsi="仿宋" w:eastAsia="仿宋" w:cs="MingLiU"/>
          <w:sz w:val="30"/>
          <w:szCs w:val="30"/>
          <w:shd w:val="clear" w:color="auto" w:fill="FFFFFF"/>
          <w:lang w:val="zh-TW" w:eastAsia="zh-TW" w:bidi="zh-TW"/>
        </w:rPr>
        <w:t>(适用于委托代理人</w:t>
      </w:r>
      <w:r>
        <w:rPr>
          <w:rFonts w:hint="eastAsia" w:ascii="仿宋" w:hAnsi="仿宋" w:eastAsia="仿宋" w:cs="MingLiU"/>
          <w:sz w:val="30"/>
          <w:szCs w:val="30"/>
          <w:shd w:val="clear" w:color="auto" w:fill="FFFFFF"/>
          <w:lang w:bidi="zh-TW"/>
        </w:rPr>
        <w:t>谈判</w:t>
      </w:r>
      <w:r>
        <w:rPr>
          <w:rFonts w:hint="eastAsia" w:ascii="仿宋" w:hAnsi="仿宋" w:eastAsia="仿宋" w:cs="MingLiU"/>
          <w:sz w:val="30"/>
          <w:szCs w:val="30"/>
          <w:shd w:val="clear" w:color="auto" w:fill="FFFFFF"/>
          <w:lang w:val="zh-TW" w:eastAsia="zh-TW" w:bidi="zh-TW"/>
        </w:rPr>
        <w:t>时)</w:t>
      </w:r>
    </w:p>
    <w:p w14:paraId="38742489">
      <w:pPr>
        <w:spacing w:line="300" w:lineRule="auto"/>
        <w:rPr>
          <w:rFonts w:ascii="Times New Roman" w:hAnsi="Times New Roman" w:eastAsia="黑体"/>
          <w:szCs w:val="21"/>
        </w:rPr>
      </w:pPr>
    </w:p>
    <w:p w14:paraId="7CBB3311">
      <w:pPr>
        <w:topLinePunct/>
        <w:spacing w:line="300" w:lineRule="auto"/>
        <w:ind w:firstLine="420" w:firstLineChars="200"/>
        <w:rPr>
          <w:rFonts w:ascii="Times New Roman" w:hAnsi="Times New Roman"/>
          <w:szCs w:val="21"/>
        </w:rPr>
      </w:pPr>
      <w:r>
        <w:rPr>
          <w:rFonts w:hint="eastAsia" w:ascii="Times New Roman" w:hAnsi="Times New Roman"/>
          <w:szCs w:val="21"/>
        </w:rPr>
        <w:t>本人</w:t>
      </w:r>
      <w:r>
        <w:rPr>
          <w:rFonts w:ascii="Times New Roman" w:hAnsi="Times New Roman"/>
          <w:szCs w:val="21"/>
          <w:u w:val="single"/>
        </w:rPr>
        <w:t xml:space="preserve">       </w:t>
      </w:r>
      <w:r>
        <w:rPr>
          <w:rFonts w:hint="eastAsia" w:ascii="Times New Roman" w:hAnsi="Times New Roman"/>
          <w:szCs w:val="21"/>
        </w:rPr>
        <w:t>（姓名）系</w:t>
      </w:r>
      <w:r>
        <w:rPr>
          <w:rFonts w:ascii="Times New Roman" w:hAnsi="Times New Roman"/>
          <w:szCs w:val="21"/>
          <w:u w:val="single"/>
        </w:rPr>
        <w:t xml:space="preserve">        </w:t>
      </w:r>
      <w:r>
        <w:rPr>
          <w:rFonts w:hint="eastAsia" w:ascii="Times New Roman" w:hAnsi="Times New Roman"/>
          <w:szCs w:val="21"/>
        </w:rPr>
        <w:t>（名称）的法定代表人，现委托</w:t>
      </w:r>
      <w:r>
        <w:rPr>
          <w:rFonts w:ascii="Times New Roman" w:hAnsi="Times New Roman"/>
          <w:szCs w:val="21"/>
          <w:u w:val="single"/>
        </w:rPr>
        <w:t xml:space="preserve">        </w:t>
      </w:r>
      <w:r>
        <w:rPr>
          <w:rFonts w:hint="eastAsia" w:ascii="Times New Roman" w:hAnsi="Times New Roman"/>
          <w:szCs w:val="21"/>
        </w:rPr>
        <w:t>（姓名）为我方代理人。代理人根据授权，以我方名义签署、澄清、说明、补正、递交、撤回、修改</w:t>
      </w:r>
      <w:r>
        <w:rPr>
          <w:rFonts w:ascii="Times New Roman" w:hAnsi="Times New Roman"/>
          <w:szCs w:val="21"/>
          <w:u w:val="single"/>
        </w:rPr>
        <w:t xml:space="preserve">           </w:t>
      </w:r>
      <w:r>
        <w:rPr>
          <w:rFonts w:hint="eastAsia" w:ascii="Times New Roman" w:hAnsi="Times New Roman"/>
          <w:szCs w:val="21"/>
        </w:rPr>
        <w:t>（项目名称）响应文件、签订合同和处理有关事宜，其法律后果由我方承担。</w:t>
      </w:r>
    </w:p>
    <w:p w14:paraId="7C53F15F">
      <w:pPr>
        <w:spacing w:line="300" w:lineRule="auto"/>
        <w:rPr>
          <w:rFonts w:ascii="Times New Roman" w:hAnsi="Times New Roman"/>
          <w:szCs w:val="21"/>
        </w:rPr>
      </w:pPr>
      <w:r>
        <w:rPr>
          <w:rFonts w:ascii="Times New Roman" w:hAnsi="Times New Roman"/>
          <w:szCs w:val="21"/>
        </w:rPr>
        <w:t xml:space="preserve">    </w:t>
      </w:r>
      <w:r>
        <w:rPr>
          <w:rFonts w:hint="eastAsia" w:ascii="Times New Roman" w:hAnsi="Times New Roman"/>
          <w:szCs w:val="21"/>
        </w:rPr>
        <w:t>委托期限：</w:t>
      </w:r>
      <w:r>
        <w:rPr>
          <w:rFonts w:ascii="Times New Roman" w:hAnsi="Times New Roman"/>
          <w:szCs w:val="21"/>
          <w:u w:val="single"/>
        </w:rPr>
        <w:t xml:space="preserve">             </w:t>
      </w:r>
      <w:r>
        <w:rPr>
          <w:rFonts w:hint="eastAsia" w:ascii="Times New Roman" w:hAnsi="Times New Roman"/>
          <w:szCs w:val="21"/>
        </w:rPr>
        <w:t>。</w:t>
      </w:r>
    </w:p>
    <w:p w14:paraId="6865D7AB">
      <w:pPr>
        <w:spacing w:line="300" w:lineRule="auto"/>
        <w:ind w:firstLine="420" w:firstLineChars="200"/>
        <w:rPr>
          <w:rFonts w:ascii="Times New Roman" w:hAnsi="Times New Roman"/>
          <w:szCs w:val="21"/>
        </w:rPr>
      </w:pPr>
      <w:r>
        <w:rPr>
          <w:rFonts w:hint="eastAsia" w:ascii="Times New Roman" w:hAnsi="Times New Roman"/>
          <w:szCs w:val="21"/>
        </w:rPr>
        <w:t>代理人无转委托权。</w:t>
      </w:r>
    </w:p>
    <w:p w14:paraId="6369AB39">
      <w:pPr>
        <w:topLinePunct/>
        <w:spacing w:line="360" w:lineRule="auto"/>
        <w:ind w:firstLine="420" w:firstLineChars="200"/>
        <w:rPr>
          <w:rFonts w:cs="仿宋"/>
        </w:rPr>
      </w:pPr>
      <w:r>
        <w:rPr>
          <w:rFonts w:hint="eastAsia" w:cs="仿宋"/>
        </w:rPr>
        <w:t>附：（1）法定代表人身份证复印件。</w:t>
      </w:r>
    </w:p>
    <w:p w14:paraId="482D30B5">
      <w:pPr>
        <w:topLinePunct/>
        <w:spacing w:line="360" w:lineRule="auto"/>
        <w:ind w:firstLine="840" w:firstLineChars="400"/>
        <w:rPr>
          <w:rFonts w:cs="仿宋"/>
        </w:rPr>
      </w:pPr>
      <w:r>
        <w:rPr>
          <w:rFonts w:hint="eastAsia" w:cs="仿宋"/>
        </w:rPr>
        <w:t>（2）委托代理人身份证复印件。</w:t>
      </w:r>
    </w:p>
    <w:p w14:paraId="2BA62C49">
      <w:pPr>
        <w:topLinePunct/>
        <w:spacing w:line="360" w:lineRule="auto"/>
        <w:ind w:firstLine="840" w:firstLineChars="400"/>
        <w:rPr>
          <w:rFonts w:cs="仿宋"/>
        </w:rPr>
      </w:pPr>
      <w:r>
        <w:rPr>
          <w:rFonts w:hint="eastAsia" w:cs="仿宋"/>
        </w:rPr>
        <w:t>（3）委托代理人社保证明。</w:t>
      </w:r>
    </w:p>
    <w:p w14:paraId="1D50DF79">
      <w:pPr>
        <w:spacing w:line="300" w:lineRule="auto"/>
        <w:rPr>
          <w:rFonts w:ascii="Times New Roman" w:hAnsi="Times New Roman"/>
          <w:szCs w:val="21"/>
        </w:rPr>
      </w:pPr>
    </w:p>
    <w:p w14:paraId="113321AD">
      <w:pPr>
        <w:spacing w:line="300" w:lineRule="auto"/>
        <w:rPr>
          <w:rFonts w:ascii="Times New Roman" w:hAnsi="Times New Roman"/>
          <w:szCs w:val="21"/>
        </w:rPr>
      </w:pPr>
    </w:p>
    <w:p w14:paraId="49295528">
      <w:pPr>
        <w:spacing w:line="300" w:lineRule="auto"/>
        <w:rPr>
          <w:rFonts w:ascii="Times New Roman" w:hAnsi="Times New Roman"/>
          <w:szCs w:val="21"/>
        </w:rPr>
      </w:pPr>
      <w:r>
        <w:rPr>
          <w:rFonts w:hint="eastAsia" w:ascii="Times New Roman" w:hAnsi="Times New Roman"/>
          <w:szCs w:val="21"/>
        </w:rPr>
        <w:t>投标人：</w:t>
      </w:r>
      <w:r>
        <w:rPr>
          <w:rFonts w:ascii="Times New Roman" w:hAnsi="Times New Roman"/>
          <w:szCs w:val="21"/>
          <w:u w:val="single"/>
        </w:rPr>
        <w:t xml:space="preserve">                               </w:t>
      </w:r>
      <w:r>
        <w:rPr>
          <w:rFonts w:hint="eastAsia" w:ascii="Times New Roman" w:hAnsi="Times New Roman"/>
          <w:szCs w:val="21"/>
        </w:rPr>
        <w:t>（盖单位章）</w:t>
      </w:r>
    </w:p>
    <w:p w14:paraId="6F50117B">
      <w:pPr>
        <w:spacing w:line="300" w:lineRule="auto"/>
        <w:rPr>
          <w:rFonts w:ascii="Times New Roman" w:hAnsi="Times New Roman"/>
          <w:szCs w:val="21"/>
        </w:rPr>
      </w:pPr>
    </w:p>
    <w:p w14:paraId="493C95E9">
      <w:pPr>
        <w:spacing w:line="300" w:lineRule="auto"/>
        <w:rPr>
          <w:rFonts w:ascii="Times New Roman" w:hAnsi="Times New Roman"/>
          <w:szCs w:val="21"/>
        </w:rPr>
      </w:pPr>
      <w:r>
        <w:rPr>
          <w:rFonts w:hint="eastAsia" w:ascii="Times New Roman" w:hAnsi="Times New Roman"/>
          <w:szCs w:val="21"/>
        </w:rPr>
        <w:t>法定代表人：</w:t>
      </w:r>
      <w:r>
        <w:rPr>
          <w:rFonts w:ascii="Times New Roman" w:hAnsi="Times New Roman"/>
          <w:szCs w:val="21"/>
          <w:u w:val="single"/>
        </w:rPr>
        <w:t xml:space="preserve">                               </w:t>
      </w:r>
      <w:r>
        <w:rPr>
          <w:rFonts w:hint="eastAsia" w:ascii="Times New Roman" w:hAnsi="Times New Roman"/>
          <w:szCs w:val="21"/>
        </w:rPr>
        <w:t>（签字并盖章）</w:t>
      </w:r>
    </w:p>
    <w:p w14:paraId="25D26D0E">
      <w:pPr>
        <w:spacing w:line="300" w:lineRule="auto"/>
        <w:rPr>
          <w:rFonts w:ascii="Times New Roman" w:hAnsi="Times New Roman"/>
          <w:szCs w:val="21"/>
        </w:rPr>
      </w:pPr>
    </w:p>
    <w:p w14:paraId="6EAEC955">
      <w:pPr>
        <w:spacing w:line="300" w:lineRule="auto"/>
        <w:rPr>
          <w:rFonts w:ascii="Times New Roman" w:hAnsi="Times New Roman"/>
          <w:szCs w:val="21"/>
        </w:rPr>
      </w:pPr>
      <w:r>
        <w:rPr>
          <w:rFonts w:hint="eastAsia" w:ascii="Times New Roman" w:hAnsi="Times New Roman"/>
          <w:szCs w:val="21"/>
        </w:rPr>
        <w:t>身份证号码：</w:t>
      </w:r>
      <w:r>
        <w:rPr>
          <w:rFonts w:ascii="Times New Roman" w:hAnsi="Times New Roman"/>
          <w:szCs w:val="21"/>
          <w:u w:val="single"/>
        </w:rPr>
        <w:t xml:space="preserve">                                     </w:t>
      </w:r>
    </w:p>
    <w:p w14:paraId="67E437A8">
      <w:pPr>
        <w:spacing w:line="300" w:lineRule="auto"/>
        <w:rPr>
          <w:rFonts w:ascii="Times New Roman" w:hAnsi="Times New Roman"/>
          <w:szCs w:val="21"/>
        </w:rPr>
      </w:pPr>
    </w:p>
    <w:p w14:paraId="7FE887BD">
      <w:pPr>
        <w:spacing w:line="300" w:lineRule="auto"/>
        <w:rPr>
          <w:rFonts w:ascii="Times New Roman" w:hAnsi="Times New Roman"/>
          <w:szCs w:val="21"/>
        </w:rPr>
      </w:pPr>
      <w:r>
        <w:rPr>
          <w:rFonts w:hint="eastAsia" w:ascii="Times New Roman" w:hAnsi="Times New Roman"/>
          <w:szCs w:val="21"/>
        </w:rPr>
        <w:t>委托代理人：</w:t>
      </w:r>
      <w:r>
        <w:rPr>
          <w:rFonts w:ascii="Times New Roman" w:hAnsi="Times New Roman"/>
          <w:szCs w:val="21"/>
          <w:u w:val="single"/>
        </w:rPr>
        <w:t xml:space="preserve">                                   </w:t>
      </w:r>
      <w:r>
        <w:rPr>
          <w:rFonts w:hint="eastAsia" w:ascii="Times New Roman" w:hAnsi="Times New Roman"/>
          <w:szCs w:val="21"/>
        </w:rPr>
        <w:t>（签字）</w:t>
      </w:r>
      <w:r>
        <w:rPr>
          <w:rFonts w:ascii="Times New Roman" w:hAnsi="Times New Roman"/>
          <w:szCs w:val="21"/>
        </w:rPr>
        <w:t xml:space="preserve"> </w:t>
      </w:r>
    </w:p>
    <w:p w14:paraId="1BD2DACC">
      <w:pPr>
        <w:spacing w:line="300" w:lineRule="auto"/>
        <w:rPr>
          <w:rFonts w:ascii="Times New Roman" w:hAnsi="Times New Roman"/>
          <w:szCs w:val="21"/>
        </w:rPr>
      </w:pPr>
    </w:p>
    <w:p w14:paraId="439A5549">
      <w:pPr>
        <w:spacing w:line="300" w:lineRule="auto"/>
        <w:rPr>
          <w:rFonts w:ascii="Times New Roman" w:hAnsi="Times New Roman"/>
          <w:szCs w:val="21"/>
        </w:rPr>
      </w:pPr>
      <w:r>
        <w:rPr>
          <w:rFonts w:hint="eastAsia" w:ascii="Times New Roman" w:hAnsi="Times New Roman"/>
          <w:szCs w:val="21"/>
        </w:rPr>
        <w:t>身份证号码：</w:t>
      </w:r>
      <w:r>
        <w:rPr>
          <w:rFonts w:ascii="Times New Roman" w:hAnsi="Times New Roman"/>
          <w:szCs w:val="21"/>
          <w:u w:val="single"/>
        </w:rPr>
        <w:t xml:space="preserve">                                      </w:t>
      </w:r>
    </w:p>
    <w:p w14:paraId="1B7F7E03">
      <w:pPr>
        <w:spacing w:line="300" w:lineRule="auto"/>
        <w:rPr>
          <w:rFonts w:ascii="Times New Roman" w:hAnsi="Times New Roman"/>
          <w:szCs w:val="21"/>
        </w:rPr>
      </w:pPr>
    </w:p>
    <w:p w14:paraId="48330E1C">
      <w:pPr>
        <w:spacing w:line="300" w:lineRule="auto"/>
        <w:rPr>
          <w:rFonts w:ascii="Times New Roman" w:hAnsi="Times New Roman"/>
          <w:szCs w:val="21"/>
        </w:rPr>
      </w:pPr>
    </w:p>
    <w:p w14:paraId="7638C54B">
      <w:pPr>
        <w:spacing w:line="300" w:lineRule="auto"/>
        <w:ind w:firstLine="2310" w:firstLineChars="1100"/>
        <w:rPr>
          <w:rFonts w:ascii="Times New Roman" w:hAnsi="Times New Roman" w:eastAsia="黑体"/>
          <w:szCs w:val="21"/>
        </w:rPr>
      </w:pPr>
      <w:r>
        <w:rPr>
          <w:rFonts w:ascii="Times New Roman" w:hAnsi="Times New Roman"/>
          <w:szCs w:val="21"/>
          <w:u w:val="single"/>
        </w:rPr>
        <w:t xml:space="preserve">       </w:t>
      </w:r>
      <w:r>
        <w:rPr>
          <w:rFonts w:hint="eastAsia" w:ascii="Times New Roman" w:hAnsi="Times New Roman"/>
          <w:szCs w:val="21"/>
        </w:rPr>
        <w:t>年</w:t>
      </w:r>
      <w:r>
        <w:rPr>
          <w:rFonts w:ascii="Times New Roman" w:hAnsi="Times New Roman"/>
          <w:szCs w:val="21"/>
          <w:u w:val="single"/>
        </w:rPr>
        <w:t xml:space="preserve">       </w:t>
      </w:r>
      <w:r>
        <w:rPr>
          <w:rFonts w:hint="eastAsia" w:ascii="Times New Roman" w:hAnsi="Times New Roman"/>
          <w:szCs w:val="21"/>
        </w:rPr>
        <w:t>月</w:t>
      </w:r>
      <w:r>
        <w:rPr>
          <w:rFonts w:ascii="Times New Roman" w:hAnsi="Times New Roman"/>
          <w:szCs w:val="21"/>
          <w:u w:val="single"/>
        </w:rPr>
        <w:t xml:space="preserve">       </w:t>
      </w:r>
      <w:r>
        <w:rPr>
          <w:rFonts w:hint="eastAsia" w:ascii="Times New Roman" w:hAnsi="Times New Roman"/>
          <w:szCs w:val="21"/>
        </w:rPr>
        <w:t>日</w:t>
      </w:r>
    </w:p>
    <w:p w14:paraId="48C474D3">
      <w:pPr>
        <w:spacing w:line="300" w:lineRule="auto"/>
        <w:ind w:left="422" w:hanging="422" w:hangingChars="200"/>
        <w:rPr>
          <w:rFonts w:ascii="Times New Roman" w:hAnsi="Times New Roman" w:eastAsia="楷体_GB2312"/>
          <w:b/>
          <w:lang w:val="zh-CN"/>
        </w:rPr>
      </w:pPr>
    </w:p>
    <w:p w14:paraId="0073F27B">
      <w:pPr>
        <w:spacing w:line="300" w:lineRule="auto"/>
        <w:rPr>
          <w:rFonts w:ascii="Times New Roman" w:hAnsi="Times New Roman" w:eastAsia="黑体"/>
          <w:sz w:val="20"/>
        </w:rPr>
      </w:pPr>
    </w:p>
    <w:p w14:paraId="29941F24">
      <w:pPr>
        <w:spacing w:line="300" w:lineRule="auto"/>
        <w:jc w:val="center"/>
        <w:rPr>
          <w:rFonts w:ascii="Times New Roman" w:hAnsi="Times New Roman" w:eastAsia="黑体"/>
          <w:sz w:val="32"/>
          <w:szCs w:val="32"/>
        </w:rPr>
      </w:pPr>
    </w:p>
    <w:p w14:paraId="2B566454">
      <w:pPr>
        <w:spacing w:line="300" w:lineRule="auto"/>
        <w:jc w:val="center"/>
        <w:rPr>
          <w:rFonts w:ascii="Times New Roman" w:hAnsi="Times New Roman" w:eastAsia="黑体"/>
          <w:sz w:val="32"/>
          <w:szCs w:val="32"/>
        </w:rPr>
      </w:pPr>
    </w:p>
    <w:p w14:paraId="31AFC878">
      <w:pPr>
        <w:spacing w:line="300" w:lineRule="auto"/>
        <w:jc w:val="center"/>
        <w:rPr>
          <w:rFonts w:ascii="Times New Roman" w:hAnsi="Times New Roman" w:eastAsia="黑体"/>
          <w:sz w:val="32"/>
          <w:szCs w:val="32"/>
        </w:rPr>
      </w:pPr>
    </w:p>
    <w:p w14:paraId="73DFB078">
      <w:pPr>
        <w:pStyle w:val="36"/>
        <w:rPr>
          <w:rFonts w:ascii="宋体" w:hAnsi="宋体" w:eastAsia="宋体" w:cs="宋体"/>
          <w:szCs w:val="24"/>
        </w:rPr>
      </w:pPr>
    </w:p>
    <w:p w14:paraId="6EC37B55">
      <w:pPr>
        <w:spacing w:line="440" w:lineRule="exact"/>
        <w:ind w:firstLine="3943" w:firstLineChars="1878"/>
      </w:pPr>
    </w:p>
    <w:p w14:paraId="5F6E7155">
      <w:pPr>
        <w:pStyle w:val="36"/>
        <w:rPr>
          <w:rFonts w:ascii="宋体" w:hAnsi="宋体" w:eastAsia="宋体" w:cs="宋体"/>
          <w:szCs w:val="24"/>
        </w:rPr>
      </w:pPr>
      <w:bookmarkStart w:id="228" w:name="_Toc506105877"/>
      <w:bookmarkStart w:id="229" w:name="_Toc352160852"/>
      <w:bookmarkStart w:id="230" w:name="_Toc391556617"/>
      <w:bookmarkStart w:id="231" w:name="_Toc508871757"/>
      <w:r>
        <w:rPr>
          <w:rFonts w:hint="eastAsia" w:ascii="宋体" w:hAnsi="宋体" w:eastAsia="宋体" w:cs="宋体"/>
          <w:szCs w:val="24"/>
        </w:rPr>
        <w:br w:type="page"/>
      </w:r>
      <w:r>
        <w:rPr>
          <w:rFonts w:hint="eastAsia" w:ascii="宋体" w:hAnsi="宋体" w:eastAsia="宋体" w:cs="宋体"/>
          <w:szCs w:val="24"/>
        </w:rPr>
        <w:t>4、资格审查资料</w:t>
      </w:r>
      <w:bookmarkEnd w:id="228"/>
      <w:bookmarkEnd w:id="229"/>
      <w:bookmarkEnd w:id="230"/>
      <w:bookmarkEnd w:id="231"/>
    </w:p>
    <w:p w14:paraId="0236D15B">
      <w:pPr>
        <w:spacing w:line="360" w:lineRule="auto"/>
        <w:rPr>
          <w:rFonts w:cs="仿宋"/>
          <w:bCs/>
        </w:rPr>
      </w:pPr>
      <w:bookmarkStart w:id="232" w:name="_Toc337496474"/>
      <w:r>
        <w:rPr>
          <w:rFonts w:hint="eastAsia" w:cs="仿宋"/>
          <w:bCs/>
        </w:rPr>
        <w:t>4.1</w:t>
      </w:r>
      <w:bookmarkEnd w:id="232"/>
      <w:r>
        <w:rPr>
          <w:rFonts w:hint="eastAsia" w:cs="仿宋"/>
          <w:bCs/>
        </w:rPr>
        <w:t>供应商基本情况及证书复印件</w:t>
      </w:r>
    </w:p>
    <w:p w14:paraId="21B4FE4F">
      <w:pPr>
        <w:spacing w:line="360" w:lineRule="auto"/>
        <w:jc w:val="center"/>
        <w:rPr>
          <w:rFonts w:cs="仿宋"/>
        </w:rPr>
      </w:pPr>
      <w:r>
        <w:rPr>
          <w:rFonts w:hint="eastAsia" w:cs="仿宋"/>
          <w:b/>
        </w:rPr>
        <w:t>基本情况</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17"/>
        <w:gridCol w:w="1097"/>
        <w:gridCol w:w="732"/>
        <w:gridCol w:w="923"/>
        <w:gridCol w:w="1147"/>
        <w:gridCol w:w="198"/>
        <w:gridCol w:w="652"/>
        <w:gridCol w:w="1490"/>
      </w:tblGrid>
      <w:tr w14:paraId="3096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572DF286">
            <w:pPr>
              <w:topLinePunct/>
              <w:spacing w:line="360" w:lineRule="auto"/>
              <w:jc w:val="center"/>
              <w:rPr>
                <w:rFonts w:cs="仿宋"/>
              </w:rPr>
            </w:pPr>
            <w:r>
              <w:rPr>
                <w:rFonts w:hint="eastAsia" w:cs="仿宋"/>
              </w:rPr>
              <w:t>供应商名称</w:t>
            </w:r>
          </w:p>
        </w:tc>
        <w:tc>
          <w:tcPr>
            <w:tcW w:w="7656" w:type="dxa"/>
            <w:gridSpan w:val="8"/>
            <w:tcBorders>
              <w:top w:val="single" w:color="000000" w:sz="4" w:space="0"/>
              <w:left w:val="single" w:color="000000" w:sz="4" w:space="0"/>
              <w:bottom w:val="single" w:color="000000" w:sz="4" w:space="0"/>
              <w:right w:val="single" w:color="000000" w:sz="4" w:space="0"/>
            </w:tcBorders>
            <w:vAlign w:val="center"/>
          </w:tcPr>
          <w:p w14:paraId="26AECA42">
            <w:pPr>
              <w:topLinePunct/>
              <w:spacing w:line="360" w:lineRule="auto"/>
              <w:jc w:val="center"/>
              <w:rPr>
                <w:rFonts w:cs="仿宋"/>
              </w:rPr>
            </w:pPr>
          </w:p>
        </w:tc>
      </w:tr>
      <w:tr w14:paraId="761E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77880BB8">
            <w:pPr>
              <w:topLinePunct/>
              <w:spacing w:line="360" w:lineRule="auto"/>
              <w:jc w:val="center"/>
              <w:rPr>
                <w:rFonts w:cs="仿宋"/>
              </w:rPr>
            </w:pPr>
            <w:r>
              <w:rPr>
                <w:rFonts w:hint="eastAsia" w:cs="仿宋"/>
              </w:rPr>
              <w:t>注册地址</w:t>
            </w:r>
          </w:p>
        </w:tc>
        <w:tc>
          <w:tcPr>
            <w:tcW w:w="4169" w:type="dxa"/>
            <w:gridSpan w:val="4"/>
            <w:tcBorders>
              <w:top w:val="single" w:color="000000" w:sz="4" w:space="0"/>
              <w:left w:val="single" w:color="000000" w:sz="4" w:space="0"/>
              <w:bottom w:val="single" w:color="000000" w:sz="4" w:space="0"/>
              <w:right w:val="single" w:color="000000" w:sz="4" w:space="0"/>
            </w:tcBorders>
            <w:vAlign w:val="center"/>
          </w:tcPr>
          <w:p w14:paraId="736D9665">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56E28BC0">
            <w:pPr>
              <w:topLinePunct/>
              <w:spacing w:line="360" w:lineRule="auto"/>
              <w:ind w:left="-105" w:leftChars="-50" w:right="-105" w:rightChars="-50"/>
              <w:jc w:val="center"/>
              <w:rPr>
                <w:rFonts w:cs="仿宋"/>
              </w:rPr>
            </w:pPr>
            <w:r>
              <w:rPr>
                <w:rFonts w:hint="eastAsia" w:cs="仿宋"/>
              </w:rPr>
              <w:t>邮政编码</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5E95FFDD">
            <w:pPr>
              <w:topLinePunct/>
              <w:spacing w:line="360" w:lineRule="auto"/>
              <w:jc w:val="center"/>
              <w:rPr>
                <w:rFonts w:cs="仿宋"/>
              </w:rPr>
            </w:pPr>
          </w:p>
        </w:tc>
      </w:tr>
      <w:tr w14:paraId="2E82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45842766">
            <w:pPr>
              <w:topLinePunct/>
              <w:adjustRightInd w:val="0"/>
              <w:snapToGrid w:val="0"/>
              <w:spacing w:line="360" w:lineRule="auto"/>
              <w:jc w:val="center"/>
              <w:rPr>
                <w:rFonts w:cs="仿宋"/>
              </w:rPr>
            </w:pPr>
            <w:r>
              <w:rPr>
                <w:rFonts w:hint="eastAsia" w:cs="仿宋"/>
              </w:rPr>
              <w:t>成立或</w:t>
            </w:r>
          </w:p>
          <w:p w14:paraId="6F83CCE7">
            <w:pPr>
              <w:topLinePunct/>
              <w:adjustRightInd w:val="0"/>
              <w:snapToGrid w:val="0"/>
              <w:spacing w:line="360" w:lineRule="auto"/>
              <w:jc w:val="center"/>
              <w:rPr>
                <w:rFonts w:cs="仿宋"/>
              </w:rPr>
            </w:pPr>
            <w:r>
              <w:rPr>
                <w:rFonts w:hint="eastAsia" w:cs="仿宋"/>
              </w:rPr>
              <w:t>注册时间</w:t>
            </w:r>
          </w:p>
        </w:tc>
        <w:tc>
          <w:tcPr>
            <w:tcW w:w="4169" w:type="dxa"/>
            <w:gridSpan w:val="4"/>
            <w:tcBorders>
              <w:top w:val="single" w:color="000000" w:sz="4" w:space="0"/>
              <w:left w:val="single" w:color="000000" w:sz="4" w:space="0"/>
              <w:bottom w:val="single" w:color="000000" w:sz="4" w:space="0"/>
              <w:right w:val="single" w:color="000000" w:sz="4" w:space="0"/>
            </w:tcBorders>
            <w:vAlign w:val="center"/>
          </w:tcPr>
          <w:p w14:paraId="0761BC54">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3DAB255B">
            <w:pPr>
              <w:topLinePunct/>
              <w:spacing w:line="360" w:lineRule="auto"/>
              <w:ind w:left="-105" w:leftChars="-50" w:right="-105" w:rightChars="-50"/>
              <w:jc w:val="center"/>
              <w:rPr>
                <w:rFonts w:cs="仿宋"/>
              </w:rPr>
            </w:pPr>
            <w:r>
              <w:rPr>
                <w:rFonts w:hint="eastAsia" w:cs="仿宋"/>
              </w:rPr>
              <w:t>注册资金</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6BBF07C1">
            <w:pPr>
              <w:topLinePunct/>
              <w:spacing w:line="360" w:lineRule="auto"/>
              <w:jc w:val="center"/>
              <w:rPr>
                <w:rFonts w:cs="仿宋"/>
              </w:rPr>
            </w:pPr>
          </w:p>
        </w:tc>
      </w:tr>
      <w:tr w14:paraId="4FB7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3CDF30D9">
            <w:pPr>
              <w:topLinePunct/>
              <w:spacing w:line="360" w:lineRule="auto"/>
              <w:jc w:val="center"/>
              <w:rPr>
                <w:rFonts w:cs="仿宋"/>
              </w:rPr>
            </w:pPr>
            <w:r>
              <w:rPr>
                <w:rFonts w:hint="eastAsia" w:cs="仿宋"/>
              </w:rPr>
              <w:t>主要负责人</w:t>
            </w:r>
          </w:p>
        </w:tc>
        <w:tc>
          <w:tcPr>
            <w:tcW w:w="4169" w:type="dxa"/>
            <w:gridSpan w:val="4"/>
            <w:tcBorders>
              <w:top w:val="single" w:color="000000" w:sz="4" w:space="0"/>
              <w:left w:val="single" w:color="000000" w:sz="4" w:space="0"/>
              <w:bottom w:val="single" w:color="000000" w:sz="4" w:space="0"/>
              <w:right w:val="single" w:color="000000" w:sz="4" w:space="0"/>
            </w:tcBorders>
            <w:vAlign w:val="center"/>
          </w:tcPr>
          <w:p w14:paraId="46123F7A">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4E218901">
            <w:pPr>
              <w:topLinePunct/>
              <w:spacing w:line="360" w:lineRule="auto"/>
              <w:ind w:left="-105" w:leftChars="-50" w:right="-105" w:rightChars="-50"/>
              <w:jc w:val="center"/>
              <w:rPr>
                <w:rFonts w:cs="仿宋"/>
              </w:rPr>
            </w:pPr>
            <w:r>
              <w:rPr>
                <w:rFonts w:hint="eastAsia" w:cs="仿宋"/>
              </w:rPr>
              <w:t>电话</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388CF09C">
            <w:pPr>
              <w:topLinePunct/>
              <w:spacing w:line="360" w:lineRule="auto"/>
              <w:jc w:val="center"/>
              <w:rPr>
                <w:rFonts w:cs="仿宋"/>
              </w:rPr>
            </w:pPr>
          </w:p>
        </w:tc>
      </w:tr>
      <w:tr w14:paraId="6CDF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4490E0A4">
            <w:pPr>
              <w:topLinePunct/>
              <w:spacing w:line="360" w:lineRule="auto"/>
              <w:jc w:val="center"/>
              <w:rPr>
                <w:rFonts w:cs="仿宋"/>
              </w:rPr>
            </w:pPr>
            <w:r>
              <w:rPr>
                <w:rFonts w:hint="eastAsia" w:cs="仿宋"/>
              </w:rPr>
              <w:t>联系方式</w:t>
            </w:r>
          </w:p>
        </w:tc>
        <w:tc>
          <w:tcPr>
            <w:tcW w:w="1417" w:type="dxa"/>
            <w:tcBorders>
              <w:top w:val="single" w:color="000000" w:sz="4" w:space="0"/>
              <w:left w:val="single" w:color="000000" w:sz="4" w:space="0"/>
              <w:bottom w:val="single" w:color="000000" w:sz="4" w:space="0"/>
              <w:right w:val="single" w:color="000000" w:sz="4" w:space="0"/>
            </w:tcBorders>
            <w:vAlign w:val="center"/>
          </w:tcPr>
          <w:p w14:paraId="73121B01">
            <w:pPr>
              <w:topLinePunct/>
              <w:spacing w:line="360" w:lineRule="auto"/>
              <w:jc w:val="center"/>
              <w:rPr>
                <w:rFonts w:cs="仿宋"/>
              </w:rPr>
            </w:pPr>
            <w:r>
              <w:rPr>
                <w:rFonts w:hint="eastAsia" w:cs="仿宋"/>
              </w:rPr>
              <w:t>联系人</w:t>
            </w:r>
          </w:p>
        </w:tc>
        <w:tc>
          <w:tcPr>
            <w:tcW w:w="2752" w:type="dxa"/>
            <w:gridSpan w:val="3"/>
            <w:tcBorders>
              <w:top w:val="single" w:color="000000" w:sz="4" w:space="0"/>
              <w:left w:val="single" w:color="000000" w:sz="4" w:space="0"/>
              <w:bottom w:val="single" w:color="000000" w:sz="4" w:space="0"/>
              <w:right w:val="single" w:color="000000" w:sz="4" w:space="0"/>
            </w:tcBorders>
            <w:vAlign w:val="center"/>
          </w:tcPr>
          <w:p w14:paraId="244C2947">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646F116A">
            <w:pPr>
              <w:topLinePunct/>
              <w:spacing w:line="360" w:lineRule="auto"/>
              <w:ind w:left="-105" w:leftChars="-50" w:right="-105" w:rightChars="-50"/>
              <w:jc w:val="center"/>
              <w:rPr>
                <w:rFonts w:cs="仿宋"/>
              </w:rPr>
            </w:pPr>
            <w:r>
              <w:rPr>
                <w:rFonts w:hint="eastAsia" w:cs="仿宋"/>
              </w:rPr>
              <w:t>电话</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4F08E7A3">
            <w:pPr>
              <w:topLinePunct/>
              <w:spacing w:line="360" w:lineRule="auto"/>
              <w:jc w:val="center"/>
              <w:rPr>
                <w:rFonts w:cs="仿宋"/>
              </w:rPr>
            </w:pPr>
          </w:p>
        </w:tc>
      </w:tr>
      <w:tr w14:paraId="1096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592952F5">
            <w:pPr>
              <w:spacing w:line="360" w:lineRule="auto"/>
              <w:rPr>
                <w:rFonts w:cs="仿宋"/>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524061D2">
            <w:pPr>
              <w:topLinePunct/>
              <w:spacing w:line="360" w:lineRule="auto"/>
              <w:jc w:val="center"/>
              <w:rPr>
                <w:rFonts w:cs="仿宋"/>
              </w:rPr>
            </w:pPr>
            <w:r>
              <w:rPr>
                <w:rFonts w:hint="eastAsia" w:cs="仿宋"/>
              </w:rPr>
              <w:t>传  真</w:t>
            </w:r>
          </w:p>
        </w:tc>
        <w:tc>
          <w:tcPr>
            <w:tcW w:w="2752" w:type="dxa"/>
            <w:gridSpan w:val="3"/>
            <w:tcBorders>
              <w:top w:val="single" w:color="000000" w:sz="4" w:space="0"/>
              <w:left w:val="single" w:color="000000" w:sz="4" w:space="0"/>
              <w:bottom w:val="single" w:color="000000" w:sz="4" w:space="0"/>
              <w:right w:val="single" w:color="000000" w:sz="4" w:space="0"/>
            </w:tcBorders>
            <w:vAlign w:val="center"/>
          </w:tcPr>
          <w:p w14:paraId="49FE366E">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vAlign w:val="center"/>
          </w:tcPr>
          <w:p w14:paraId="50AC8FB9">
            <w:pPr>
              <w:topLinePunct/>
              <w:spacing w:line="360" w:lineRule="auto"/>
              <w:ind w:left="-105" w:leftChars="-50" w:right="-105" w:rightChars="-50"/>
              <w:jc w:val="center"/>
              <w:rPr>
                <w:rFonts w:cs="仿宋"/>
              </w:rPr>
            </w:pPr>
            <w:r>
              <w:rPr>
                <w:rFonts w:hint="eastAsia" w:cs="仿宋"/>
              </w:rPr>
              <w:t>电子邮箱</w:t>
            </w:r>
          </w:p>
        </w:tc>
        <w:tc>
          <w:tcPr>
            <w:tcW w:w="2340" w:type="dxa"/>
            <w:gridSpan w:val="3"/>
            <w:tcBorders>
              <w:top w:val="single" w:color="000000" w:sz="4" w:space="0"/>
              <w:left w:val="single" w:color="000000" w:sz="4" w:space="0"/>
              <w:bottom w:val="single" w:color="000000" w:sz="4" w:space="0"/>
              <w:right w:val="single" w:color="000000" w:sz="4" w:space="0"/>
            </w:tcBorders>
            <w:vAlign w:val="center"/>
          </w:tcPr>
          <w:p w14:paraId="176AD31F">
            <w:pPr>
              <w:topLinePunct/>
              <w:spacing w:line="360" w:lineRule="auto"/>
              <w:jc w:val="center"/>
              <w:rPr>
                <w:rFonts w:cs="仿宋"/>
              </w:rPr>
            </w:pPr>
          </w:p>
        </w:tc>
      </w:tr>
      <w:tr w14:paraId="0B98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34613D2">
            <w:pPr>
              <w:spacing w:line="360" w:lineRule="auto"/>
              <w:rPr>
                <w:rFonts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6DEE7641">
            <w:pPr>
              <w:topLinePunct/>
              <w:spacing w:line="360" w:lineRule="auto"/>
              <w:jc w:val="center"/>
              <w:rPr>
                <w:rFonts w:cs="仿宋"/>
              </w:rPr>
            </w:pPr>
            <w:r>
              <w:rPr>
                <w:rFonts w:hint="eastAsia" w:cs="仿宋"/>
              </w:rPr>
              <w:t>近3年</w:t>
            </w:r>
          </w:p>
          <w:p w14:paraId="24552457">
            <w:pPr>
              <w:topLinePunct/>
              <w:spacing w:line="360" w:lineRule="auto"/>
              <w:jc w:val="center"/>
              <w:rPr>
                <w:rFonts w:cs="仿宋"/>
              </w:rPr>
            </w:pPr>
            <w:r>
              <w:rPr>
                <w:rFonts w:hint="eastAsia" w:cs="仿宋"/>
              </w:rPr>
              <w:t>营业额</w:t>
            </w:r>
          </w:p>
        </w:tc>
        <w:tc>
          <w:tcPr>
            <w:tcW w:w="1097" w:type="dxa"/>
            <w:tcBorders>
              <w:top w:val="single" w:color="000000" w:sz="4" w:space="0"/>
              <w:left w:val="single" w:color="000000" w:sz="4" w:space="0"/>
              <w:bottom w:val="single" w:color="000000" w:sz="4" w:space="0"/>
              <w:right w:val="single" w:color="000000" w:sz="4" w:space="0"/>
            </w:tcBorders>
            <w:vAlign w:val="center"/>
          </w:tcPr>
          <w:p w14:paraId="0316309F">
            <w:pPr>
              <w:topLinePunct/>
              <w:spacing w:line="360" w:lineRule="auto"/>
              <w:jc w:val="center"/>
              <w:rPr>
                <w:rFonts w:cs="仿宋"/>
              </w:rPr>
            </w:pPr>
            <w:r>
              <w:rPr>
                <w:rFonts w:hint="eastAsia" w:cs="仿宋"/>
              </w:rPr>
              <w:t>年份</w:t>
            </w:r>
          </w:p>
        </w:tc>
        <w:tc>
          <w:tcPr>
            <w:tcW w:w="1655" w:type="dxa"/>
            <w:gridSpan w:val="2"/>
            <w:tcBorders>
              <w:top w:val="single" w:color="000000" w:sz="4" w:space="0"/>
              <w:left w:val="single" w:color="000000" w:sz="4" w:space="0"/>
              <w:bottom w:val="single" w:color="000000" w:sz="4" w:space="0"/>
              <w:right w:val="single" w:color="000000" w:sz="4" w:space="0"/>
            </w:tcBorders>
            <w:vAlign w:val="center"/>
          </w:tcPr>
          <w:p w14:paraId="753577D8">
            <w:pPr>
              <w:topLinePunct/>
              <w:spacing w:line="360" w:lineRule="auto"/>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77769F7D">
            <w:pPr>
              <w:topLinePunct/>
              <w:spacing w:line="360" w:lineRule="auto"/>
              <w:jc w:val="center"/>
              <w:rPr>
                <w:rFonts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2282CE40">
            <w:pPr>
              <w:topLinePunct/>
              <w:spacing w:line="360" w:lineRule="auto"/>
              <w:jc w:val="center"/>
              <w:rPr>
                <w:rFonts w:cs="仿宋"/>
              </w:rPr>
            </w:pPr>
          </w:p>
        </w:tc>
      </w:tr>
      <w:tr w14:paraId="3FE5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467265F">
            <w:pPr>
              <w:spacing w:line="360" w:lineRule="auto"/>
              <w:rPr>
                <w:rFonts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6E1FBEA1">
            <w:pPr>
              <w:spacing w:line="360" w:lineRule="auto"/>
              <w:rPr>
                <w:rFonts w:cs="仿宋"/>
              </w:rPr>
            </w:pPr>
          </w:p>
        </w:tc>
        <w:tc>
          <w:tcPr>
            <w:tcW w:w="1097" w:type="dxa"/>
            <w:tcBorders>
              <w:top w:val="single" w:color="000000" w:sz="4" w:space="0"/>
              <w:left w:val="single" w:color="000000" w:sz="4" w:space="0"/>
              <w:bottom w:val="single" w:color="000000" w:sz="4" w:space="0"/>
              <w:right w:val="single" w:color="000000" w:sz="4" w:space="0"/>
            </w:tcBorders>
            <w:vAlign w:val="center"/>
          </w:tcPr>
          <w:p w14:paraId="242D7ED2">
            <w:pPr>
              <w:topLinePunct/>
              <w:spacing w:line="360" w:lineRule="auto"/>
              <w:jc w:val="center"/>
              <w:rPr>
                <w:rFonts w:cs="仿宋"/>
              </w:rPr>
            </w:pPr>
            <w:r>
              <w:rPr>
                <w:rFonts w:hint="eastAsia" w:cs="仿宋"/>
              </w:rPr>
              <w:t>年份</w:t>
            </w:r>
          </w:p>
        </w:tc>
        <w:tc>
          <w:tcPr>
            <w:tcW w:w="1655" w:type="dxa"/>
            <w:gridSpan w:val="2"/>
            <w:tcBorders>
              <w:top w:val="single" w:color="000000" w:sz="4" w:space="0"/>
              <w:left w:val="single" w:color="000000" w:sz="4" w:space="0"/>
              <w:bottom w:val="single" w:color="000000" w:sz="4" w:space="0"/>
              <w:right w:val="single" w:color="000000" w:sz="4" w:space="0"/>
            </w:tcBorders>
            <w:vAlign w:val="center"/>
          </w:tcPr>
          <w:p w14:paraId="4DD905E6">
            <w:pPr>
              <w:topLinePunct/>
              <w:spacing w:line="360" w:lineRule="auto"/>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2144D173">
            <w:pPr>
              <w:topLinePunct/>
              <w:spacing w:line="360" w:lineRule="auto"/>
              <w:jc w:val="center"/>
              <w:rPr>
                <w:rFonts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54C90797">
            <w:pPr>
              <w:topLinePunct/>
              <w:spacing w:line="360" w:lineRule="auto"/>
              <w:jc w:val="center"/>
              <w:rPr>
                <w:rFonts w:cs="仿宋"/>
              </w:rPr>
            </w:pPr>
          </w:p>
        </w:tc>
      </w:tr>
      <w:tr w14:paraId="3961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C851FE0">
            <w:pPr>
              <w:spacing w:line="360" w:lineRule="auto"/>
              <w:rPr>
                <w:rFonts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5B2E047E">
            <w:pPr>
              <w:spacing w:line="360" w:lineRule="auto"/>
              <w:rPr>
                <w:rFonts w:cs="仿宋"/>
              </w:rPr>
            </w:pPr>
          </w:p>
        </w:tc>
        <w:tc>
          <w:tcPr>
            <w:tcW w:w="1097" w:type="dxa"/>
            <w:tcBorders>
              <w:top w:val="single" w:color="000000" w:sz="4" w:space="0"/>
              <w:left w:val="single" w:color="000000" w:sz="4" w:space="0"/>
              <w:bottom w:val="single" w:color="000000" w:sz="4" w:space="0"/>
              <w:right w:val="single" w:color="000000" w:sz="4" w:space="0"/>
            </w:tcBorders>
            <w:vAlign w:val="center"/>
          </w:tcPr>
          <w:p w14:paraId="56F8EA3D">
            <w:pPr>
              <w:topLinePunct/>
              <w:spacing w:line="360" w:lineRule="auto"/>
              <w:jc w:val="center"/>
              <w:rPr>
                <w:rFonts w:cs="仿宋"/>
              </w:rPr>
            </w:pPr>
            <w:r>
              <w:rPr>
                <w:rFonts w:hint="eastAsia" w:cs="仿宋"/>
              </w:rPr>
              <w:t>年份</w:t>
            </w:r>
          </w:p>
        </w:tc>
        <w:tc>
          <w:tcPr>
            <w:tcW w:w="1655" w:type="dxa"/>
            <w:gridSpan w:val="2"/>
            <w:tcBorders>
              <w:top w:val="single" w:color="000000" w:sz="4" w:space="0"/>
              <w:left w:val="single" w:color="000000" w:sz="4" w:space="0"/>
              <w:bottom w:val="single" w:color="000000" w:sz="4" w:space="0"/>
              <w:right w:val="single" w:color="000000" w:sz="4" w:space="0"/>
            </w:tcBorders>
            <w:vAlign w:val="center"/>
          </w:tcPr>
          <w:p w14:paraId="42CCFED9">
            <w:pPr>
              <w:topLinePunct/>
              <w:spacing w:line="360" w:lineRule="auto"/>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1EE6CE98">
            <w:pPr>
              <w:topLinePunct/>
              <w:spacing w:line="360" w:lineRule="auto"/>
              <w:jc w:val="center"/>
              <w:rPr>
                <w:rFonts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350BAF09">
            <w:pPr>
              <w:topLinePunct/>
              <w:spacing w:line="360" w:lineRule="auto"/>
              <w:jc w:val="center"/>
              <w:rPr>
                <w:rFonts w:cs="仿宋"/>
              </w:rPr>
            </w:pPr>
          </w:p>
        </w:tc>
      </w:tr>
      <w:tr w14:paraId="1ACF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661C187">
            <w:pPr>
              <w:spacing w:line="360" w:lineRule="auto"/>
              <w:rPr>
                <w:rFonts w:cs="仿宋"/>
              </w:rPr>
            </w:pP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14:paraId="01060D07">
            <w:pPr>
              <w:topLinePunct/>
              <w:adjustRightInd w:val="0"/>
              <w:snapToGrid w:val="0"/>
              <w:spacing w:line="360" w:lineRule="auto"/>
              <w:ind w:left="-105" w:leftChars="-50" w:right="-105" w:rightChars="-50"/>
              <w:jc w:val="center"/>
              <w:rPr>
                <w:rFonts w:cs="仿宋"/>
              </w:rPr>
            </w:pPr>
            <w:r>
              <w:rPr>
                <w:rFonts w:hint="eastAsia" w:cs="仿宋"/>
              </w:rPr>
              <w:t>近期资产</w:t>
            </w:r>
          </w:p>
          <w:p w14:paraId="26636E10">
            <w:pPr>
              <w:topLinePunct/>
              <w:adjustRightInd w:val="0"/>
              <w:snapToGrid w:val="0"/>
              <w:spacing w:line="360" w:lineRule="auto"/>
              <w:jc w:val="center"/>
              <w:rPr>
                <w:rFonts w:cs="仿宋"/>
              </w:rPr>
            </w:pPr>
            <w:r>
              <w:rPr>
                <w:rFonts w:hint="eastAsia" w:cs="仿宋"/>
              </w:rPr>
              <w:t>负债表</w:t>
            </w:r>
          </w:p>
          <w:p w14:paraId="5682E271">
            <w:pPr>
              <w:topLinePunct/>
              <w:adjustRightInd w:val="0"/>
              <w:snapToGrid w:val="0"/>
              <w:spacing w:line="360" w:lineRule="auto"/>
              <w:ind w:right="-128" w:rightChars="-61"/>
              <w:jc w:val="center"/>
              <w:rPr>
                <w:rFonts w:cs="仿宋"/>
              </w:rPr>
            </w:pPr>
            <w:r>
              <w:rPr>
                <w:rFonts w:hint="eastAsia" w:cs="仿宋"/>
              </w:rPr>
              <w:t>到年月日止</w:t>
            </w:r>
          </w:p>
        </w:tc>
        <w:tc>
          <w:tcPr>
            <w:tcW w:w="1097" w:type="dxa"/>
            <w:tcBorders>
              <w:top w:val="single" w:color="000000" w:sz="4" w:space="0"/>
              <w:left w:val="single" w:color="000000" w:sz="4" w:space="0"/>
              <w:bottom w:val="single" w:color="000000" w:sz="4" w:space="0"/>
              <w:right w:val="single" w:color="000000" w:sz="4" w:space="0"/>
            </w:tcBorders>
            <w:vAlign w:val="center"/>
          </w:tcPr>
          <w:p w14:paraId="2A384F7A">
            <w:pPr>
              <w:topLinePunct/>
              <w:spacing w:line="360" w:lineRule="auto"/>
              <w:ind w:left="-105" w:leftChars="-50" w:right="-105" w:rightChars="-50"/>
              <w:jc w:val="center"/>
              <w:rPr>
                <w:rFonts w:cs="仿宋"/>
              </w:rPr>
            </w:pPr>
            <w:r>
              <w:rPr>
                <w:rFonts w:hint="eastAsia" w:cs="仿宋"/>
              </w:rPr>
              <w:t>固定资产</w:t>
            </w:r>
          </w:p>
        </w:tc>
        <w:tc>
          <w:tcPr>
            <w:tcW w:w="1655" w:type="dxa"/>
            <w:gridSpan w:val="2"/>
            <w:tcBorders>
              <w:top w:val="single" w:color="000000" w:sz="4" w:space="0"/>
              <w:left w:val="single" w:color="000000" w:sz="4" w:space="0"/>
              <w:bottom w:val="single" w:color="000000" w:sz="4" w:space="0"/>
              <w:right w:val="single" w:color="000000" w:sz="4" w:space="0"/>
            </w:tcBorders>
            <w:vAlign w:val="center"/>
          </w:tcPr>
          <w:p w14:paraId="78E7140A">
            <w:pPr>
              <w:topLinePunct/>
              <w:spacing w:line="360" w:lineRule="auto"/>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199F19F0">
            <w:pPr>
              <w:topLinePunct/>
              <w:spacing w:line="360" w:lineRule="auto"/>
              <w:ind w:left="-105" w:leftChars="-50" w:right="-105" w:rightChars="-50"/>
              <w:jc w:val="center"/>
              <w:rPr>
                <w:rFonts w:cs="仿宋"/>
              </w:rPr>
            </w:pPr>
            <w:r>
              <w:rPr>
                <w:rFonts w:hint="eastAsia" w:cs="仿宋"/>
              </w:rPr>
              <w:t>流动资产</w:t>
            </w:r>
          </w:p>
        </w:tc>
        <w:tc>
          <w:tcPr>
            <w:tcW w:w="2142" w:type="dxa"/>
            <w:gridSpan w:val="2"/>
            <w:tcBorders>
              <w:top w:val="single" w:color="000000" w:sz="4" w:space="0"/>
              <w:left w:val="single" w:color="000000" w:sz="4" w:space="0"/>
              <w:bottom w:val="single" w:color="000000" w:sz="4" w:space="0"/>
              <w:right w:val="single" w:color="000000" w:sz="4" w:space="0"/>
            </w:tcBorders>
            <w:vAlign w:val="center"/>
          </w:tcPr>
          <w:p w14:paraId="55080414">
            <w:pPr>
              <w:topLinePunct/>
              <w:spacing w:line="360" w:lineRule="auto"/>
              <w:ind w:left="-105" w:leftChars="-50" w:right="-105" w:rightChars="-50"/>
              <w:jc w:val="center"/>
              <w:rPr>
                <w:rFonts w:cs="仿宋"/>
              </w:rPr>
            </w:pPr>
          </w:p>
        </w:tc>
      </w:tr>
      <w:tr w14:paraId="635C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051B7541">
            <w:pPr>
              <w:spacing w:line="360" w:lineRule="auto"/>
              <w:rPr>
                <w:rFonts w:cs="仿宋"/>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14:paraId="4F040CE1">
            <w:pPr>
              <w:spacing w:line="360" w:lineRule="auto"/>
              <w:rPr>
                <w:rFonts w:cs="仿宋"/>
              </w:rPr>
            </w:pPr>
          </w:p>
        </w:tc>
        <w:tc>
          <w:tcPr>
            <w:tcW w:w="1097" w:type="dxa"/>
            <w:tcBorders>
              <w:top w:val="single" w:color="000000" w:sz="4" w:space="0"/>
              <w:left w:val="single" w:color="000000" w:sz="4" w:space="0"/>
              <w:bottom w:val="single" w:color="000000" w:sz="4" w:space="0"/>
              <w:right w:val="single" w:color="000000" w:sz="4" w:space="0"/>
            </w:tcBorders>
            <w:vAlign w:val="center"/>
          </w:tcPr>
          <w:p w14:paraId="1422B867">
            <w:pPr>
              <w:topLinePunct/>
              <w:spacing w:line="360" w:lineRule="auto"/>
              <w:ind w:left="-105" w:leftChars="-50" w:right="-105" w:rightChars="-50"/>
              <w:jc w:val="center"/>
              <w:rPr>
                <w:rFonts w:cs="仿宋"/>
              </w:rPr>
            </w:pPr>
            <w:r>
              <w:rPr>
                <w:rFonts w:hint="eastAsia" w:cs="仿宋"/>
              </w:rPr>
              <w:t>长期负债</w:t>
            </w:r>
          </w:p>
        </w:tc>
        <w:tc>
          <w:tcPr>
            <w:tcW w:w="732" w:type="dxa"/>
            <w:tcBorders>
              <w:top w:val="single" w:color="000000" w:sz="4" w:space="0"/>
              <w:left w:val="single" w:color="000000" w:sz="4" w:space="0"/>
              <w:bottom w:val="single" w:color="000000" w:sz="4" w:space="0"/>
              <w:right w:val="single" w:color="000000" w:sz="4" w:space="0"/>
            </w:tcBorders>
            <w:vAlign w:val="center"/>
          </w:tcPr>
          <w:p w14:paraId="3E27A94C">
            <w:pPr>
              <w:topLinePunct/>
              <w:spacing w:line="360" w:lineRule="auto"/>
              <w:jc w:val="center"/>
              <w:rPr>
                <w:rFonts w:cs="仿宋"/>
              </w:rPr>
            </w:pPr>
          </w:p>
        </w:tc>
        <w:tc>
          <w:tcPr>
            <w:tcW w:w="923" w:type="dxa"/>
            <w:tcBorders>
              <w:top w:val="single" w:color="000000" w:sz="4" w:space="0"/>
              <w:left w:val="single" w:color="000000" w:sz="4" w:space="0"/>
              <w:bottom w:val="single" w:color="000000" w:sz="4" w:space="0"/>
              <w:right w:val="single" w:color="000000" w:sz="4" w:space="0"/>
            </w:tcBorders>
            <w:vAlign w:val="center"/>
          </w:tcPr>
          <w:p w14:paraId="45ECB8EB">
            <w:pPr>
              <w:topLinePunct/>
              <w:spacing w:line="360" w:lineRule="auto"/>
              <w:ind w:left="-105" w:leftChars="-50" w:right="-105" w:rightChars="-50"/>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14:paraId="7FF0DBF6">
            <w:pPr>
              <w:topLinePunct/>
              <w:spacing w:line="360" w:lineRule="auto"/>
              <w:ind w:left="-166" w:leftChars="-79" w:right="-107" w:rightChars="-51"/>
              <w:jc w:val="center"/>
              <w:rPr>
                <w:rFonts w:cs="仿宋"/>
              </w:rPr>
            </w:pPr>
            <w:r>
              <w:rPr>
                <w:rFonts w:hint="eastAsia" w:cs="仿宋"/>
              </w:rPr>
              <w:t>流动负债</w:t>
            </w:r>
          </w:p>
        </w:tc>
        <w:tc>
          <w:tcPr>
            <w:tcW w:w="652" w:type="dxa"/>
            <w:tcBorders>
              <w:top w:val="single" w:color="000000" w:sz="4" w:space="0"/>
              <w:left w:val="single" w:color="000000" w:sz="4" w:space="0"/>
              <w:bottom w:val="single" w:color="000000" w:sz="4" w:space="0"/>
              <w:right w:val="single" w:color="000000" w:sz="4" w:space="0"/>
            </w:tcBorders>
            <w:vAlign w:val="center"/>
          </w:tcPr>
          <w:p w14:paraId="3DE1BE48">
            <w:pPr>
              <w:topLinePunct/>
              <w:spacing w:line="360" w:lineRule="auto"/>
              <w:ind w:left="-105" w:leftChars="-50" w:right="-105" w:rightChars="-50"/>
              <w:jc w:val="center"/>
              <w:rPr>
                <w:rFonts w:cs="仿宋"/>
              </w:rPr>
            </w:pPr>
          </w:p>
        </w:tc>
        <w:tc>
          <w:tcPr>
            <w:tcW w:w="1490" w:type="dxa"/>
            <w:tcBorders>
              <w:top w:val="single" w:color="000000" w:sz="4" w:space="0"/>
              <w:left w:val="single" w:color="000000" w:sz="4" w:space="0"/>
              <w:bottom w:val="single" w:color="000000" w:sz="4" w:space="0"/>
              <w:right w:val="single" w:color="000000" w:sz="4" w:space="0"/>
            </w:tcBorders>
            <w:vAlign w:val="center"/>
          </w:tcPr>
          <w:p w14:paraId="5FBE8EFA">
            <w:pPr>
              <w:topLinePunct/>
              <w:spacing w:line="360" w:lineRule="auto"/>
              <w:jc w:val="center"/>
              <w:rPr>
                <w:rFonts w:cs="仿宋"/>
              </w:rPr>
            </w:pPr>
          </w:p>
        </w:tc>
      </w:tr>
      <w:tr w14:paraId="4A40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D53D787">
            <w:pPr>
              <w:spacing w:line="360" w:lineRule="auto"/>
              <w:rPr>
                <w:rFonts w:cs="仿宋"/>
              </w:rPr>
            </w:pPr>
          </w:p>
        </w:tc>
        <w:tc>
          <w:tcPr>
            <w:tcW w:w="7656" w:type="dxa"/>
            <w:gridSpan w:val="8"/>
            <w:tcBorders>
              <w:top w:val="single" w:color="000000" w:sz="4" w:space="0"/>
              <w:left w:val="single" w:color="000000" w:sz="4" w:space="0"/>
              <w:bottom w:val="single" w:color="000000" w:sz="4" w:space="0"/>
              <w:right w:val="single" w:color="000000" w:sz="4" w:space="0"/>
            </w:tcBorders>
            <w:vAlign w:val="center"/>
          </w:tcPr>
          <w:p w14:paraId="499FA321">
            <w:pPr>
              <w:topLinePunct/>
              <w:spacing w:line="360" w:lineRule="auto"/>
              <w:rPr>
                <w:rFonts w:cs="仿宋"/>
              </w:rPr>
            </w:pPr>
            <w:r>
              <w:rPr>
                <w:rFonts w:hint="eastAsia" w:cs="仿宋"/>
              </w:rPr>
              <w:t>经营范围：</w:t>
            </w:r>
          </w:p>
        </w:tc>
      </w:tr>
    </w:tbl>
    <w:p w14:paraId="5E40A815">
      <w:pPr>
        <w:topLinePunct/>
        <w:spacing w:line="360" w:lineRule="auto"/>
        <w:ind w:firstLine="420" w:firstLineChars="200"/>
        <w:rPr>
          <w:rFonts w:cs="仿宋"/>
        </w:rPr>
      </w:pPr>
      <w:r>
        <w:rPr>
          <w:rFonts w:hint="eastAsia" w:cs="仿宋"/>
        </w:rPr>
        <w:t>注：本表可增加并扩展。</w:t>
      </w:r>
    </w:p>
    <w:p w14:paraId="43DD8F81">
      <w:pPr>
        <w:topLinePunct/>
        <w:spacing w:line="360" w:lineRule="auto"/>
        <w:ind w:firstLine="420" w:firstLineChars="200"/>
      </w:pPr>
      <w:r>
        <w:rPr>
          <w:rFonts w:hint="eastAsia" w:cs="仿宋"/>
        </w:rPr>
        <w:t>附：</w:t>
      </w:r>
      <w:r>
        <w:rPr>
          <w:rFonts w:hint="eastAsia"/>
        </w:rPr>
        <w:t>包括但不限于：营业执照、资质证书、体系认证、资信等级、获奖证书等的复印件，加盖公章。</w:t>
      </w:r>
    </w:p>
    <w:p w14:paraId="326E78CF">
      <w:pPr>
        <w:pStyle w:val="2"/>
        <w:rPr>
          <w:color w:val="auto"/>
        </w:rPr>
      </w:pPr>
    </w:p>
    <w:p w14:paraId="4CFE79E5">
      <w:pPr>
        <w:spacing w:line="360" w:lineRule="auto"/>
        <w:rPr>
          <w:rFonts w:cs="仿宋"/>
        </w:rPr>
      </w:pPr>
      <w:bookmarkStart w:id="233" w:name="_Toc426317296"/>
      <w:r>
        <w:rPr>
          <w:rFonts w:hint="eastAsia" w:cs="仿宋"/>
        </w:rPr>
        <w:t>4.2人员</w:t>
      </w:r>
      <w:r>
        <w:rPr>
          <w:rFonts w:hint="eastAsia"/>
        </w:rPr>
        <w:t>资格证书及</w:t>
      </w:r>
      <w:r>
        <w:rPr>
          <w:rFonts w:hint="eastAsia" w:cs="仿宋"/>
        </w:rPr>
        <w:t>社保证明（近6个月）</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559"/>
        <w:gridCol w:w="1701"/>
        <w:gridCol w:w="2126"/>
        <w:gridCol w:w="2035"/>
      </w:tblGrid>
      <w:tr w14:paraId="1452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278D0589">
            <w:pPr>
              <w:pStyle w:val="2"/>
              <w:jc w:val="center"/>
              <w:rPr>
                <w:color w:val="auto"/>
                <w:sz w:val="21"/>
                <w:szCs w:val="21"/>
              </w:rPr>
            </w:pPr>
            <w:r>
              <w:rPr>
                <w:color w:val="auto"/>
                <w:sz w:val="21"/>
                <w:szCs w:val="21"/>
              </w:rPr>
              <w:t>序号</w:t>
            </w:r>
          </w:p>
        </w:tc>
        <w:tc>
          <w:tcPr>
            <w:tcW w:w="1559" w:type="dxa"/>
            <w:vAlign w:val="center"/>
          </w:tcPr>
          <w:p w14:paraId="09ABE689">
            <w:pPr>
              <w:pStyle w:val="2"/>
              <w:jc w:val="center"/>
              <w:rPr>
                <w:color w:val="auto"/>
                <w:sz w:val="21"/>
                <w:szCs w:val="21"/>
              </w:rPr>
            </w:pPr>
            <w:r>
              <w:rPr>
                <w:color w:val="auto"/>
                <w:sz w:val="21"/>
                <w:szCs w:val="21"/>
              </w:rPr>
              <w:t>姓名</w:t>
            </w:r>
          </w:p>
        </w:tc>
        <w:tc>
          <w:tcPr>
            <w:tcW w:w="1701" w:type="dxa"/>
            <w:vAlign w:val="center"/>
          </w:tcPr>
          <w:p w14:paraId="3B2C55E9">
            <w:pPr>
              <w:pStyle w:val="2"/>
              <w:jc w:val="center"/>
              <w:rPr>
                <w:color w:val="auto"/>
                <w:sz w:val="21"/>
                <w:szCs w:val="21"/>
              </w:rPr>
            </w:pPr>
            <w:r>
              <w:rPr>
                <w:color w:val="auto"/>
                <w:sz w:val="21"/>
                <w:szCs w:val="21"/>
              </w:rPr>
              <w:t>技术职称</w:t>
            </w:r>
          </w:p>
        </w:tc>
        <w:tc>
          <w:tcPr>
            <w:tcW w:w="2126" w:type="dxa"/>
            <w:vAlign w:val="center"/>
          </w:tcPr>
          <w:p w14:paraId="6D96C78C">
            <w:pPr>
              <w:pStyle w:val="2"/>
              <w:jc w:val="center"/>
              <w:rPr>
                <w:color w:val="auto"/>
                <w:sz w:val="21"/>
                <w:szCs w:val="21"/>
              </w:rPr>
            </w:pPr>
            <w:r>
              <w:rPr>
                <w:color w:val="auto"/>
                <w:sz w:val="21"/>
                <w:szCs w:val="21"/>
              </w:rPr>
              <w:t>评价专业</w:t>
            </w:r>
          </w:p>
        </w:tc>
        <w:tc>
          <w:tcPr>
            <w:tcW w:w="2035" w:type="dxa"/>
            <w:vAlign w:val="center"/>
          </w:tcPr>
          <w:p w14:paraId="66D65523">
            <w:pPr>
              <w:pStyle w:val="2"/>
              <w:jc w:val="center"/>
              <w:rPr>
                <w:color w:val="auto"/>
                <w:sz w:val="21"/>
                <w:szCs w:val="21"/>
              </w:rPr>
            </w:pPr>
            <w:r>
              <w:rPr>
                <w:color w:val="auto"/>
                <w:sz w:val="21"/>
                <w:szCs w:val="21"/>
              </w:rPr>
              <w:t>有无社保证明</w:t>
            </w:r>
          </w:p>
        </w:tc>
      </w:tr>
      <w:tr w14:paraId="5462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08306EA1">
            <w:pPr>
              <w:pStyle w:val="2"/>
              <w:jc w:val="center"/>
              <w:rPr>
                <w:color w:val="auto"/>
                <w:sz w:val="21"/>
                <w:szCs w:val="21"/>
              </w:rPr>
            </w:pPr>
            <w:r>
              <w:rPr>
                <w:rFonts w:hint="eastAsia"/>
                <w:color w:val="auto"/>
                <w:sz w:val="21"/>
                <w:szCs w:val="21"/>
              </w:rPr>
              <w:t>1</w:t>
            </w:r>
          </w:p>
        </w:tc>
        <w:tc>
          <w:tcPr>
            <w:tcW w:w="1559" w:type="dxa"/>
            <w:vAlign w:val="center"/>
          </w:tcPr>
          <w:p w14:paraId="4A2ADD43">
            <w:pPr>
              <w:pStyle w:val="2"/>
              <w:jc w:val="center"/>
              <w:rPr>
                <w:color w:val="auto"/>
                <w:sz w:val="21"/>
                <w:szCs w:val="21"/>
              </w:rPr>
            </w:pPr>
          </w:p>
        </w:tc>
        <w:tc>
          <w:tcPr>
            <w:tcW w:w="1701" w:type="dxa"/>
            <w:vAlign w:val="center"/>
          </w:tcPr>
          <w:p w14:paraId="23CD19B9">
            <w:pPr>
              <w:pStyle w:val="2"/>
              <w:jc w:val="center"/>
              <w:rPr>
                <w:color w:val="auto"/>
                <w:sz w:val="21"/>
                <w:szCs w:val="21"/>
              </w:rPr>
            </w:pPr>
          </w:p>
        </w:tc>
        <w:tc>
          <w:tcPr>
            <w:tcW w:w="2126" w:type="dxa"/>
            <w:vAlign w:val="center"/>
          </w:tcPr>
          <w:p w14:paraId="2534A157">
            <w:pPr>
              <w:pStyle w:val="2"/>
              <w:jc w:val="center"/>
              <w:rPr>
                <w:color w:val="auto"/>
                <w:sz w:val="21"/>
                <w:szCs w:val="21"/>
              </w:rPr>
            </w:pPr>
          </w:p>
        </w:tc>
        <w:tc>
          <w:tcPr>
            <w:tcW w:w="2035" w:type="dxa"/>
            <w:vAlign w:val="center"/>
          </w:tcPr>
          <w:p w14:paraId="7643893A">
            <w:pPr>
              <w:pStyle w:val="2"/>
              <w:jc w:val="center"/>
              <w:rPr>
                <w:color w:val="auto"/>
                <w:sz w:val="21"/>
                <w:szCs w:val="21"/>
              </w:rPr>
            </w:pPr>
          </w:p>
        </w:tc>
      </w:tr>
      <w:tr w14:paraId="366E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1C2F80D9">
            <w:pPr>
              <w:pStyle w:val="2"/>
              <w:jc w:val="center"/>
              <w:rPr>
                <w:color w:val="auto"/>
                <w:sz w:val="21"/>
                <w:szCs w:val="21"/>
              </w:rPr>
            </w:pPr>
            <w:r>
              <w:rPr>
                <w:rFonts w:hint="eastAsia"/>
                <w:color w:val="auto"/>
                <w:sz w:val="21"/>
                <w:szCs w:val="21"/>
              </w:rPr>
              <w:t>2</w:t>
            </w:r>
          </w:p>
        </w:tc>
        <w:tc>
          <w:tcPr>
            <w:tcW w:w="1559" w:type="dxa"/>
            <w:vAlign w:val="center"/>
          </w:tcPr>
          <w:p w14:paraId="0ED01024">
            <w:pPr>
              <w:pStyle w:val="2"/>
              <w:jc w:val="center"/>
              <w:rPr>
                <w:color w:val="auto"/>
                <w:sz w:val="21"/>
                <w:szCs w:val="21"/>
              </w:rPr>
            </w:pPr>
          </w:p>
        </w:tc>
        <w:tc>
          <w:tcPr>
            <w:tcW w:w="1701" w:type="dxa"/>
            <w:vAlign w:val="center"/>
          </w:tcPr>
          <w:p w14:paraId="462D5B32">
            <w:pPr>
              <w:pStyle w:val="2"/>
              <w:jc w:val="center"/>
              <w:rPr>
                <w:color w:val="auto"/>
                <w:sz w:val="21"/>
                <w:szCs w:val="21"/>
              </w:rPr>
            </w:pPr>
          </w:p>
        </w:tc>
        <w:tc>
          <w:tcPr>
            <w:tcW w:w="2126" w:type="dxa"/>
            <w:vAlign w:val="center"/>
          </w:tcPr>
          <w:p w14:paraId="7C40B3DD">
            <w:pPr>
              <w:pStyle w:val="2"/>
              <w:jc w:val="center"/>
              <w:rPr>
                <w:color w:val="auto"/>
                <w:sz w:val="21"/>
                <w:szCs w:val="21"/>
              </w:rPr>
            </w:pPr>
          </w:p>
        </w:tc>
        <w:tc>
          <w:tcPr>
            <w:tcW w:w="2035" w:type="dxa"/>
            <w:vAlign w:val="center"/>
          </w:tcPr>
          <w:p w14:paraId="752AD8D5">
            <w:pPr>
              <w:pStyle w:val="2"/>
              <w:jc w:val="center"/>
              <w:rPr>
                <w:color w:val="auto"/>
                <w:sz w:val="21"/>
                <w:szCs w:val="21"/>
              </w:rPr>
            </w:pPr>
          </w:p>
        </w:tc>
      </w:tr>
      <w:tr w14:paraId="4549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7A8E3B29">
            <w:pPr>
              <w:pStyle w:val="2"/>
              <w:jc w:val="center"/>
              <w:rPr>
                <w:color w:val="auto"/>
                <w:sz w:val="21"/>
                <w:szCs w:val="21"/>
              </w:rPr>
            </w:pPr>
            <w:r>
              <w:rPr>
                <w:rFonts w:hint="eastAsia"/>
                <w:color w:val="auto"/>
                <w:sz w:val="21"/>
                <w:szCs w:val="21"/>
              </w:rPr>
              <w:t>3</w:t>
            </w:r>
          </w:p>
        </w:tc>
        <w:tc>
          <w:tcPr>
            <w:tcW w:w="1559" w:type="dxa"/>
            <w:vAlign w:val="center"/>
          </w:tcPr>
          <w:p w14:paraId="534855A8">
            <w:pPr>
              <w:pStyle w:val="2"/>
              <w:jc w:val="center"/>
              <w:rPr>
                <w:color w:val="auto"/>
                <w:sz w:val="21"/>
                <w:szCs w:val="21"/>
              </w:rPr>
            </w:pPr>
          </w:p>
        </w:tc>
        <w:tc>
          <w:tcPr>
            <w:tcW w:w="1701" w:type="dxa"/>
            <w:vAlign w:val="center"/>
          </w:tcPr>
          <w:p w14:paraId="19D147A2">
            <w:pPr>
              <w:pStyle w:val="2"/>
              <w:jc w:val="center"/>
              <w:rPr>
                <w:color w:val="auto"/>
                <w:sz w:val="21"/>
                <w:szCs w:val="21"/>
              </w:rPr>
            </w:pPr>
          </w:p>
        </w:tc>
        <w:tc>
          <w:tcPr>
            <w:tcW w:w="2126" w:type="dxa"/>
            <w:vAlign w:val="center"/>
          </w:tcPr>
          <w:p w14:paraId="4E50DCF9">
            <w:pPr>
              <w:pStyle w:val="2"/>
              <w:jc w:val="center"/>
              <w:rPr>
                <w:color w:val="auto"/>
                <w:sz w:val="21"/>
                <w:szCs w:val="21"/>
              </w:rPr>
            </w:pPr>
          </w:p>
        </w:tc>
        <w:tc>
          <w:tcPr>
            <w:tcW w:w="2035" w:type="dxa"/>
            <w:vAlign w:val="center"/>
          </w:tcPr>
          <w:p w14:paraId="30013CDD">
            <w:pPr>
              <w:pStyle w:val="2"/>
              <w:jc w:val="center"/>
              <w:rPr>
                <w:color w:val="auto"/>
                <w:sz w:val="21"/>
                <w:szCs w:val="21"/>
              </w:rPr>
            </w:pPr>
          </w:p>
        </w:tc>
      </w:tr>
      <w:tr w14:paraId="0C21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73A0E72A">
            <w:pPr>
              <w:pStyle w:val="2"/>
              <w:jc w:val="center"/>
              <w:rPr>
                <w:color w:val="auto"/>
                <w:sz w:val="21"/>
                <w:szCs w:val="21"/>
              </w:rPr>
            </w:pPr>
            <w:r>
              <w:rPr>
                <w:rFonts w:hint="eastAsia"/>
                <w:color w:val="auto"/>
                <w:sz w:val="21"/>
                <w:szCs w:val="21"/>
              </w:rPr>
              <w:t>4</w:t>
            </w:r>
          </w:p>
        </w:tc>
        <w:tc>
          <w:tcPr>
            <w:tcW w:w="1559" w:type="dxa"/>
            <w:vAlign w:val="center"/>
          </w:tcPr>
          <w:p w14:paraId="32BE2DCC">
            <w:pPr>
              <w:pStyle w:val="2"/>
              <w:jc w:val="center"/>
              <w:rPr>
                <w:color w:val="auto"/>
                <w:sz w:val="21"/>
                <w:szCs w:val="21"/>
              </w:rPr>
            </w:pPr>
          </w:p>
        </w:tc>
        <w:tc>
          <w:tcPr>
            <w:tcW w:w="1701" w:type="dxa"/>
            <w:vAlign w:val="center"/>
          </w:tcPr>
          <w:p w14:paraId="55736865">
            <w:pPr>
              <w:pStyle w:val="2"/>
              <w:jc w:val="center"/>
              <w:rPr>
                <w:color w:val="auto"/>
                <w:sz w:val="21"/>
                <w:szCs w:val="21"/>
              </w:rPr>
            </w:pPr>
          </w:p>
        </w:tc>
        <w:tc>
          <w:tcPr>
            <w:tcW w:w="2126" w:type="dxa"/>
            <w:vAlign w:val="center"/>
          </w:tcPr>
          <w:p w14:paraId="709C9B77">
            <w:pPr>
              <w:pStyle w:val="2"/>
              <w:jc w:val="center"/>
              <w:rPr>
                <w:color w:val="auto"/>
                <w:sz w:val="21"/>
                <w:szCs w:val="21"/>
              </w:rPr>
            </w:pPr>
          </w:p>
        </w:tc>
        <w:tc>
          <w:tcPr>
            <w:tcW w:w="2035" w:type="dxa"/>
            <w:vAlign w:val="center"/>
          </w:tcPr>
          <w:p w14:paraId="319FBAE4">
            <w:pPr>
              <w:pStyle w:val="2"/>
              <w:jc w:val="center"/>
              <w:rPr>
                <w:color w:val="auto"/>
                <w:sz w:val="21"/>
                <w:szCs w:val="21"/>
              </w:rPr>
            </w:pPr>
          </w:p>
        </w:tc>
      </w:tr>
      <w:tr w14:paraId="0DDF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2A085BC0">
            <w:pPr>
              <w:pStyle w:val="2"/>
              <w:jc w:val="center"/>
              <w:rPr>
                <w:color w:val="auto"/>
                <w:sz w:val="21"/>
                <w:szCs w:val="21"/>
              </w:rPr>
            </w:pPr>
            <w:r>
              <w:rPr>
                <w:color w:val="auto"/>
                <w:sz w:val="21"/>
                <w:szCs w:val="21"/>
              </w:rPr>
              <w:t>…</w:t>
            </w:r>
          </w:p>
        </w:tc>
        <w:tc>
          <w:tcPr>
            <w:tcW w:w="1559" w:type="dxa"/>
            <w:vAlign w:val="center"/>
          </w:tcPr>
          <w:p w14:paraId="7074ABE8">
            <w:pPr>
              <w:pStyle w:val="2"/>
              <w:jc w:val="center"/>
              <w:rPr>
                <w:color w:val="auto"/>
                <w:sz w:val="21"/>
                <w:szCs w:val="21"/>
              </w:rPr>
            </w:pPr>
          </w:p>
        </w:tc>
        <w:tc>
          <w:tcPr>
            <w:tcW w:w="1701" w:type="dxa"/>
            <w:vAlign w:val="center"/>
          </w:tcPr>
          <w:p w14:paraId="15E7C8A0">
            <w:pPr>
              <w:pStyle w:val="2"/>
              <w:jc w:val="center"/>
              <w:rPr>
                <w:color w:val="auto"/>
                <w:sz w:val="21"/>
                <w:szCs w:val="21"/>
              </w:rPr>
            </w:pPr>
          </w:p>
        </w:tc>
        <w:tc>
          <w:tcPr>
            <w:tcW w:w="2126" w:type="dxa"/>
            <w:vAlign w:val="center"/>
          </w:tcPr>
          <w:p w14:paraId="51BEB7FF">
            <w:pPr>
              <w:pStyle w:val="2"/>
              <w:jc w:val="center"/>
              <w:rPr>
                <w:color w:val="auto"/>
                <w:sz w:val="21"/>
                <w:szCs w:val="21"/>
              </w:rPr>
            </w:pPr>
          </w:p>
        </w:tc>
        <w:tc>
          <w:tcPr>
            <w:tcW w:w="2035" w:type="dxa"/>
            <w:vAlign w:val="center"/>
          </w:tcPr>
          <w:p w14:paraId="4515580D">
            <w:pPr>
              <w:pStyle w:val="2"/>
              <w:jc w:val="center"/>
              <w:rPr>
                <w:color w:val="auto"/>
                <w:sz w:val="21"/>
                <w:szCs w:val="21"/>
              </w:rPr>
            </w:pPr>
          </w:p>
        </w:tc>
      </w:tr>
    </w:tbl>
    <w:p w14:paraId="345FC961">
      <w:pPr>
        <w:pStyle w:val="2"/>
        <w:rPr>
          <w:color w:val="auto"/>
          <w:sz w:val="21"/>
          <w:szCs w:val="21"/>
        </w:rPr>
      </w:pPr>
      <w:r>
        <w:rPr>
          <w:color w:val="auto"/>
          <w:sz w:val="21"/>
          <w:szCs w:val="21"/>
        </w:rPr>
        <w:t>附：专业技术人员资质证书、社保证明</w:t>
      </w:r>
    </w:p>
    <w:p w14:paraId="1D415C15">
      <w:pPr>
        <w:pStyle w:val="2"/>
        <w:rPr>
          <w:color w:val="auto"/>
          <w:sz w:val="21"/>
          <w:szCs w:val="21"/>
        </w:rPr>
      </w:pPr>
    </w:p>
    <w:p w14:paraId="548496EB">
      <w:pPr>
        <w:spacing w:line="360" w:lineRule="auto"/>
        <w:rPr>
          <w:rStyle w:val="29"/>
          <w:rFonts w:cs="仿宋"/>
          <w:b w:val="0"/>
        </w:rPr>
      </w:pPr>
      <w:r>
        <w:rPr>
          <w:rFonts w:hint="eastAsia" w:cs="仿宋"/>
          <w:bCs/>
        </w:rPr>
        <w:t>4.2符合资格条件的业绩汇总表</w:t>
      </w:r>
      <w:bookmarkEnd w:id="233"/>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3740"/>
        <w:gridCol w:w="3125"/>
      </w:tblGrid>
      <w:tr w14:paraId="5CF5D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trPr>
        <w:tc>
          <w:tcPr>
            <w:tcW w:w="1526" w:type="dxa"/>
            <w:vAlign w:val="center"/>
          </w:tcPr>
          <w:p w14:paraId="3A0EB8EF">
            <w:pPr>
              <w:adjustRightInd w:val="0"/>
              <w:snapToGrid w:val="0"/>
              <w:jc w:val="center"/>
              <w:rPr>
                <w:rFonts w:cs="仿宋"/>
              </w:rPr>
            </w:pPr>
            <w:r>
              <w:rPr>
                <w:rFonts w:hint="eastAsia" w:cs="仿宋"/>
              </w:rPr>
              <w:t>序号</w:t>
            </w:r>
          </w:p>
        </w:tc>
        <w:tc>
          <w:tcPr>
            <w:tcW w:w="3740" w:type="dxa"/>
            <w:vAlign w:val="center"/>
          </w:tcPr>
          <w:p w14:paraId="27A6E7B8">
            <w:pPr>
              <w:adjustRightInd w:val="0"/>
              <w:snapToGrid w:val="0"/>
              <w:jc w:val="center"/>
              <w:rPr>
                <w:rFonts w:cs="仿宋"/>
              </w:rPr>
            </w:pPr>
            <w:bookmarkStart w:id="234" w:name="_Toc351401531"/>
            <w:bookmarkStart w:id="235" w:name="_Toc351401530"/>
            <w:r>
              <w:rPr>
                <w:rFonts w:hint="eastAsia" w:cs="仿宋"/>
              </w:rPr>
              <w:t>项目业主</w:t>
            </w:r>
            <w:bookmarkEnd w:id="234"/>
            <w:r>
              <w:rPr>
                <w:rFonts w:hint="eastAsia" w:cs="仿宋"/>
              </w:rPr>
              <w:t>名称</w:t>
            </w:r>
            <w:bookmarkEnd w:id="235"/>
          </w:p>
        </w:tc>
        <w:tc>
          <w:tcPr>
            <w:tcW w:w="3125" w:type="dxa"/>
            <w:vAlign w:val="center"/>
          </w:tcPr>
          <w:p w14:paraId="335143D7">
            <w:pPr>
              <w:adjustRightInd w:val="0"/>
              <w:snapToGrid w:val="0"/>
              <w:jc w:val="center"/>
              <w:rPr>
                <w:rFonts w:cs="仿宋"/>
              </w:rPr>
            </w:pPr>
            <w:r>
              <w:rPr>
                <w:rFonts w:hint="eastAsia" w:cs="仿宋"/>
              </w:rPr>
              <w:t>签订日期</w:t>
            </w:r>
          </w:p>
          <w:p w14:paraId="2F9EB87E">
            <w:pPr>
              <w:adjustRightInd w:val="0"/>
              <w:snapToGrid w:val="0"/>
              <w:jc w:val="center"/>
              <w:rPr>
                <w:rFonts w:cs="仿宋"/>
              </w:rPr>
            </w:pPr>
            <w:r>
              <w:rPr>
                <w:rFonts w:hint="eastAsia" w:cs="仿宋"/>
              </w:rPr>
              <w:t>（年月）</w:t>
            </w:r>
          </w:p>
        </w:tc>
      </w:tr>
      <w:tr w14:paraId="70527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1526" w:type="dxa"/>
            <w:vAlign w:val="center"/>
          </w:tcPr>
          <w:p w14:paraId="7888C61A">
            <w:pPr>
              <w:adjustRightInd w:val="0"/>
              <w:snapToGrid w:val="0"/>
              <w:jc w:val="center"/>
              <w:rPr>
                <w:rFonts w:cs="仿宋"/>
              </w:rPr>
            </w:pPr>
            <w:r>
              <w:rPr>
                <w:rFonts w:hint="eastAsia" w:cs="仿宋"/>
              </w:rPr>
              <w:t>1</w:t>
            </w:r>
          </w:p>
        </w:tc>
        <w:tc>
          <w:tcPr>
            <w:tcW w:w="3740" w:type="dxa"/>
            <w:vAlign w:val="center"/>
          </w:tcPr>
          <w:p w14:paraId="3FC8884D">
            <w:pPr>
              <w:pStyle w:val="38"/>
              <w:spacing w:beforeLines="0" w:after="0" w:line="240" w:lineRule="auto"/>
              <w:rPr>
                <w:rFonts w:ascii="宋体" w:hAnsi="宋体" w:cs="仿宋"/>
                <w:b w:val="0"/>
                <w:sz w:val="24"/>
                <w:szCs w:val="24"/>
              </w:rPr>
            </w:pPr>
          </w:p>
        </w:tc>
        <w:tc>
          <w:tcPr>
            <w:tcW w:w="3125" w:type="dxa"/>
            <w:vAlign w:val="center"/>
          </w:tcPr>
          <w:p w14:paraId="2627AD68">
            <w:pPr>
              <w:pStyle w:val="38"/>
              <w:spacing w:beforeLines="0" w:after="0" w:line="240" w:lineRule="auto"/>
              <w:rPr>
                <w:rFonts w:ascii="宋体" w:hAnsi="宋体" w:cs="仿宋"/>
                <w:b w:val="0"/>
                <w:sz w:val="24"/>
                <w:szCs w:val="24"/>
              </w:rPr>
            </w:pPr>
          </w:p>
        </w:tc>
      </w:tr>
      <w:tr w14:paraId="38F38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1526" w:type="dxa"/>
            <w:vAlign w:val="center"/>
          </w:tcPr>
          <w:p w14:paraId="730C559F">
            <w:pPr>
              <w:adjustRightInd w:val="0"/>
              <w:snapToGrid w:val="0"/>
              <w:jc w:val="center"/>
              <w:rPr>
                <w:rFonts w:cs="仿宋"/>
              </w:rPr>
            </w:pPr>
            <w:r>
              <w:rPr>
                <w:rFonts w:hint="eastAsia" w:cs="仿宋"/>
              </w:rPr>
              <w:t>2</w:t>
            </w:r>
          </w:p>
        </w:tc>
        <w:tc>
          <w:tcPr>
            <w:tcW w:w="3740" w:type="dxa"/>
            <w:vAlign w:val="center"/>
          </w:tcPr>
          <w:p w14:paraId="734D3B5E">
            <w:pPr>
              <w:pStyle w:val="38"/>
              <w:spacing w:beforeLines="0" w:after="0" w:line="240" w:lineRule="auto"/>
              <w:rPr>
                <w:rFonts w:ascii="宋体" w:hAnsi="宋体" w:cs="仿宋"/>
                <w:b w:val="0"/>
                <w:sz w:val="24"/>
                <w:szCs w:val="24"/>
              </w:rPr>
            </w:pPr>
          </w:p>
        </w:tc>
        <w:tc>
          <w:tcPr>
            <w:tcW w:w="3125" w:type="dxa"/>
            <w:vAlign w:val="center"/>
          </w:tcPr>
          <w:p w14:paraId="4FA8ADD4">
            <w:pPr>
              <w:pStyle w:val="38"/>
              <w:spacing w:beforeLines="0" w:after="0" w:line="240" w:lineRule="auto"/>
              <w:rPr>
                <w:rFonts w:ascii="宋体" w:hAnsi="宋体" w:cs="仿宋"/>
                <w:b w:val="0"/>
                <w:sz w:val="24"/>
                <w:szCs w:val="24"/>
              </w:rPr>
            </w:pPr>
          </w:p>
        </w:tc>
      </w:tr>
      <w:tr w14:paraId="48618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1526" w:type="dxa"/>
            <w:vAlign w:val="center"/>
          </w:tcPr>
          <w:p w14:paraId="670EC2CE">
            <w:pPr>
              <w:adjustRightInd w:val="0"/>
              <w:snapToGrid w:val="0"/>
              <w:jc w:val="center"/>
              <w:rPr>
                <w:rFonts w:cs="仿宋"/>
              </w:rPr>
            </w:pPr>
            <w:r>
              <w:rPr>
                <w:rFonts w:hint="eastAsia" w:cs="仿宋"/>
              </w:rPr>
              <w:t>3</w:t>
            </w:r>
          </w:p>
        </w:tc>
        <w:tc>
          <w:tcPr>
            <w:tcW w:w="3740" w:type="dxa"/>
            <w:vAlign w:val="center"/>
          </w:tcPr>
          <w:p w14:paraId="479E6DF2">
            <w:pPr>
              <w:pStyle w:val="38"/>
              <w:spacing w:beforeLines="0" w:after="0" w:line="240" w:lineRule="auto"/>
              <w:rPr>
                <w:rFonts w:ascii="宋体" w:hAnsi="宋体" w:cs="仿宋"/>
                <w:b w:val="0"/>
                <w:sz w:val="24"/>
                <w:szCs w:val="24"/>
              </w:rPr>
            </w:pPr>
          </w:p>
        </w:tc>
        <w:tc>
          <w:tcPr>
            <w:tcW w:w="3125" w:type="dxa"/>
            <w:vAlign w:val="center"/>
          </w:tcPr>
          <w:p w14:paraId="78384FCE">
            <w:pPr>
              <w:pStyle w:val="38"/>
              <w:spacing w:beforeLines="0" w:after="0" w:line="240" w:lineRule="auto"/>
              <w:rPr>
                <w:rFonts w:ascii="宋体" w:hAnsi="宋体" w:cs="仿宋"/>
                <w:b w:val="0"/>
                <w:sz w:val="24"/>
                <w:szCs w:val="24"/>
              </w:rPr>
            </w:pPr>
          </w:p>
        </w:tc>
      </w:tr>
      <w:tr w14:paraId="26255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1526" w:type="dxa"/>
            <w:vAlign w:val="center"/>
          </w:tcPr>
          <w:p w14:paraId="0222475C">
            <w:pPr>
              <w:adjustRightInd w:val="0"/>
              <w:snapToGrid w:val="0"/>
              <w:jc w:val="center"/>
              <w:rPr>
                <w:rFonts w:cs="仿宋"/>
              </w:rPr>
            </w:pPr>
            <w:r>
              <w:rPr>
                <w:rFonts w:hint="eastAsia" w:cs="仿宋"/>
              </w:rPr>
              <w:t>……</w:t>
            </w:r>
          </w:p>
        </w:tc>
        <w:tc>
          <w:tcPr>
            <w:tcW w:w="3740" w:type="dxa"/>
            <w:vAlign w:val="center"/>
          </w:tcPr>
          <w:p w14:paraId="47467B68">
            <w:pPr>
              <w:pStyle w:val="38"/>
              <w:spacing w:beforeLines="0" w:after="0" w:line="240" w:lineRule="auto"/>
              <w:rPr>
                <w:rFonts w:ascii="宋体" w:hAnsi="宋体" w:cs="仿宋"/>
                <w:b w:val="0"/>
                <w:sz w:val="24"/>
                <w:szCs w:val="24"/>
              </w:rPr>
            </w:pPr>
          </w:p>
        </w:tc>
        <w:tc>
          <w:tcPr>
            <w:tcW w:w="3125" w:type="dxa"/>
            <w:vAlign w:val="center"/>
          </w:tcPr>
          <w:p w14:paraId="7BC5BE03">
            <w:pPr>
              <w:pStyle w:val="38"/>
              <w:spacing w:beforeLines="0" w:after="0" w:line="240" w:lineRule="auto"/>
              <w:rPr>
                <w:rFonts w:ascii="宋体" w:hAnsi="宋体" w:cs="仿宋"/>
                <w:b w:val="0"/>
                <w:sz w:val="24"/>
                <w:szCs w:val="24"/>
              </w:rPr>
            </w:pPr>
          </w:p>
        </w:tc>
      </w:tr>
    </w:tbl>
    <w:p w14:paraId="2FBB91A6">
      <w:pPr>
        <w:topLinePunct/>
        <w:spacing w:line="360" w:lineRule="auto"/>
        <w:ind w:firstLine="420" w:firstLineChars="200"/>
        <w:rPr>
          <w:rFonts w:cs="仿宋"/>
        </w:rPr>
      </w:pPr>
      <w:r>
        <w:rPr>
          <w:rFonts w:hint="eastAsia" w:cs="仿宋"/>
        </w:rPr>
        <w:t>附：服务</w:t>
      </w:r>
      <w:r>
        <w:rPr>
          <w:rFonts w:hint="eastAsia"/>
        </w:rPr>
        <w:t>合同及发票等相关证明材料（扫描件）</w:t>
      </w:r>
    </w:p>
    <w:p w14:paraId="5A68124A">
      <w:pPr>
        <w:spacing w:line="360" w:lineRule="auto"/>
        <w:rPr>
          <w:rFonts w:cs="仿宋"/>
        </w:rPr>
      </w:pPr>
    </w:p>
    <w:p w14:paraId="758C61D7">
      <w:pPr>
        <w:spacing w:line="360" w:lineRule="auto"/>
        <w:ind w:firstLine="3675" w:firstLineChars="1750"/>
        <w:rPr>
          <w:rFonts w:cs="仿宋"/>
        </w:rPr>
      </w:pPr>
      <w:r>
        <w:rPr>
          <w:rFonts w:hint="eastAsia" w:cs="仿宋"/>
        </w:rPr>
        <w:t>供应商：（盖单位章）</w:t>
      </w:r>
    </w:p>
    <w:p w14:paraId="3917636E">
      <w:pPr>
        <w:spacing w:line="360" w:lineRule="auto"/>
        <w:ind w:firstLine="3675" w:firstLineChars="1750"/>
        <w:rPr>
          <w:rFonts w:cs="仿宋"/>
        </w:rPr>
      </w:pPr>
      <w:r>
        <w:rPr>
          <w:rFonts w:hint="eastAsia" w:cs="仿宋"/>
        </w:rPr>
        <w:t>法定代表人或其委托代理人：（签字）</w:t>
      </w:r>
    </w:p>
    <w:p w14:paraId="42A16D2A">
      <w:pPr>
        <w:spacing w:line="360" w:lineRule="auto"/>
        <w:ind w:firstLine="3675" w:firstLineChars="1750"/>
        <w:rPr>
          <w:rFonts w:cs="仿宋"/>
        </w:rPr>
      </w:pPr>
      <w:r>
        <w:rPr>
          <w:rFonts w:hint="eastAsia" w:cs="仿宋"/>
        </w:rPr>
        <w:t>年月日</w:t>
      </w:r>
    </w:p>
    <w:p w14:paraId="32D64D5C">
      <w:pPr>
        <w:spacing w:line="360" w:lineRule="auto"/>
        <w:rPr>
          <w:rFonts w:cs="仿宋"/>
          <w:spacing w:val="20"/>
          <w:u w:val="single"/>
        </w:rPr>
      </w:pPr>
    </w:p>
    <w:p w14:paraId="497FDC86">
      <w:pPr>
        <w:spacing w:line="360" w:lineRule="auto"/>
        <w:rPr>
          <w:rFonts w:cs="仿宋"/>
          <w:b/>
          <w:bCs/>
          <w:spacing w:val="20"/>
        </w:rPr>
      </w:pPr>
      <w:r>
        <w:rPr>
          <w:rFonts w:hint="eastAsia" w:cs="仿宋"/>
          <w:spacing w:val="20"/>
        </w:rPr>
        <w:br w:type="page"/>
      </w:r>
      <w:r>
        <w:rPr>
          <w:rFonts w:cs="仿宋"/>
          <w:b/>
          <w:bCs/>
          <w:spacing w:val="20"/>
        </w:rPr>
        <w:t>5</w:t>
      </w:r>
      <w:r>
        <w:rPr>
          <w:rFonts w:hint="eastAsia" w:cs="仿宋"/>
          <w:b/>
          <w:bCs/>
          <w:spacing w:val="20"/>
        </w:rPr>
        <w:t>、报价</w:t>
      </w:r>
    </w:p>
    <w:p w14:paraId="6531DB4E">
      <w:pPr>
        <w:spacing w:line="360" w:lineRule="auto"/>
        <w:rPr>
          <w:rFonts w:cs="仿宋"/>
        </w:rPr>
      </w:pPr>
      <w:r>
        <w:rPr>
          <w:rFonts w:hint="eastAsia" w:cs="仿宋"/>
        </w:rPr>
        <w:t>报价说明：</w:t>
      </w:r>
    </w:p>
    <w:p w14:paraId="32706579">
      <w:pPr>
        <w:tabs>
          <w:tab w:val="left" w:pos="945"/>
        </w:tabs>
        <w:spacing w:line="360" w:lineRule="auto"/>
        <w:ind w:firstLine="420" w:firstLineChars="200"/>
        <w:rPr>
          <w:rFonts w:cs="仿宋"/>
        </w:rPr>
      </w:pPr>
      <w:r>
        <w:rPr>
          <w:rFonts w:hint="eastAsia" w:cs="仿宋"/>
        </w:rPr>
        <w:t>（1）报价表应按本招标文件规定的格式填写。</w:t>
      </w:r>
    </w:p>
    <w:p w14:paraId="58A4CA0D">
      <w:pPr>
        <w:tabs>
          <w:tab w:val="left" w:pos="945"/>
        </w:tabs>
        <w:spacing w:line="360" w:lineRule="auto"/>
        <w:ind w:firstLine="420" w:firstLineChars="200"/>
        <w:rPr>
          <w:rFonts w:cs="仿宋"/>
        </w:rPr>
      </w:pPr>
      <w:r>
        <w:rPr>
          <w:rFonts w:hint="eastAsia" w:cs="仿宋"/>
        </w:rPr>
        <w:t>（2）报价币种为人民币。</w:t>
      </w:r>
    </w:p>
    <w:p w14:paraId="628078E9">
      <w:pPr>
        <w:tabs>
          <w:tab w:val="left" w:pos="945"/>
        </w:tabs>
        <w:spacing w:line="360" w:lineRule="auto"/>
        <w:ind w:firstLine="420" w:firstLineChars="200"/>
        <w:rPr>
          <w:rFonts w:cs="仿宋"/>
        </w:rPr>
      </w:pPr>
      <w:r>
        <w:rPr>
          <w:rFonts w:hint="eastAsia" w:cs="仿宋"/>
        </w:rPr>
        <w:t>（3）如果按单价计算的结果与总价不一致，以单价为准修正总价。</w:t>
      </w:r>
    </w:p>
    <w:p w14:paraId="7100038A">
      <w:pPr>
        <w:tabs>
          <w:tab w:val="left" w:pos="945"/>
        </w:tabs>
        <w:spacing w:line="360" w:lineRule="auto"/>
        <w:ind w:firstLine="420" w:firstLineChars="200"/>
        <w:rPr>
          <w:rFonts w:cs="仿宋"/>
        </w:rPr>
      </w:pPr>
      <w:r>
        <w:rPr>
          <w:rFonts w:hint="eastAsia" w:cs="仿宋"/>
        </w:rPr>
        <w:t>（4）报价清单中有计算或汇总中的算术错误时，将按招标须知中有关规定执行。</w:t>
      </w:r>
    </w:p>
    <w:p w14:paraId="6108857E">
      <w:pPr>
        <w:tabs>
          <w:tab w:val="left" w:pos="945"/>
        </w:tabs>
        <w:spacing w:line="360" w:lineRule="auto"/>
        <w:ind w:firstLine="420" w:firstLineChars="200"/>
        <w:rPr>
          <w:rFonts w:cs="仿宋"/>
        </w:rPr>
      </w:pPr>
      <w:r>
        <w:rPr>
          <w:rFonts w:hint="eastAsia" w:cs="仿宋"/>
        </w:rPr>
        <w:t>（5）报价中包含货物从工厂运至规定的交货地点的运输费、装卸费、保险费、</w:t>
      </w:r>
      <w:r>
        <w:rPr>
          <w:rFonts w:hint="eastAsia" w:cs="仿宋"/>
          <w:szCs w:val="20"/>
        </w:rPr>
        <w:t>技术培训与服务费</w:t>
      </w:r>
      <w:r>
        <w:rPr>
          <w:rFonts w:hint="eastAsia" w:cs="仿宋"/>
        </w:rPr>
        <w:t>等所有费用。</w:t>
      </w:r>
    </w:p>
    <w:p w14:paraId="38DB2483">
      <w:pPr>
        <w:tabs>
          <w:tab w:val="left" w:pos="945"/>
        </w:tabs>
        <w:spacing w:line="360" w:lineRule="auto"/>
        <w:ind w:firstLine="420" w:firstLineChars="200"/>
        <w:rPr>
          <w:rFonts w:cs="仿宋"/>
        </w:rPr>
      </w:pPr>
      <w:r>
        <w:rPr>
          <w:rFonts w:hint="eastAsia" w:cs="仿宋"/>
        </w:rPr>
        <w:t>（6）本项目为固定总价项目，合同价格包括完成项目所需的各种费用，且在合同执行过程中不作任何调整。</w:t>
      </w:r>
    </w:p>
    <w:p w14:paraId="329FCE77">
      <w:pPr>
        <w:tabs>
          <w:tab w:val="left" w:pos="945"/>
        </w:tabs>
        <w:spacing w:line="360" w:lineRule="auto"/>
        <w:ind w:firstLine="420" w:firstLineChars="200"/>
        <w:rPr>
          <w:rFonts w:cs="仿宋"/>
        </w:rPr>
      </w:pPr>
      <w:r>
        <w:rPr>
          <w:rFonts w:hint="eastAsia" w:cs="仿宋"/>
        </w:rPr>
        <w:t>（7）若投标人对某些项目未报价，则应认为已包括在总报价内。</w:t>
      </w:r>
    </w:p>
    <w:p w14:paraId="1B4B73F7">
      <w:pPr>
        <w:pStyle w:val="16"/>
        <w:ind w:left="0" w:leftChars="0"/>
        <w:rPr>
          <w:rFonts w:ascii="仿宋" w:hAnsi="仿宋" w:eastAsia="仿宋"/>
          <w:b/>
          <w:sz w:val="28"/>
          <w:szCs w:val="28"/>
        </w:rPr>
      </w:pPr>
      <w:r>
        <w:rPr>
          <w:rFonts w:hint="eastAsia" w:cs="仿宋"/>
        </w:rPr>
        <w:t>（8）</w:t>
      </w:r>
      <w:r>
        <w:rPr>
          <w:rFonts w:cs="仿宋"/>
        </w:rPr>
        <w:t>报价</w:t>
      </w:r>
      <w:r>
        <w:rPr>
          <w:rFonts w:hint="eastAsia" w:cs="仿宋"/>
        </w:rPr>
        <w:t>为</w:t>
      </w:r>
      <w:r>
        <w:rPr>
          <w:rFonts w:cs="仿宋"/>
        </w:rPr>
        <w:t>含</w:t>
      </w:r>
      <w:r>
        <w:rPr>
          <w:rFonts w:hint="eastAsia" w:cs="仿宋"/>
        </w:rPr>
        <w:t>6</w:t>
      </w:r>
      <w:r>
        <w:rPr>
          <w:rFonts w:cs="仿宋"/>
        </w:rPr>
        <w:t>%增值税专用发票价格</w:t>
      </w:r>
      <w:r>
        <w:rPr>
          <w:rFonts w:hint="eastAsia" w:cs="仿宋"/>
        </w:rPr>
        <w:t>（以人民币报价的方式）。</w:t>
      </w:r>
    </w:p>
    <w:p w14:paraId="7BE83888">
      <w:pPr>
        <w:rPr>
          <w:rFonts w:ascii="仿宋" w:hAnsi="仿宋" w:eastAsia="仿宋"/>
          <w:b/>
          <w:sz w:val="28"/>
          <w:szCs w:val="28"/>
        </w:rPr>
      </w:pPr>
      <w:r>
        <w:rPr>
          <w:rFonts w:hint="eastAsia" w:ascii="仿宋" w:hAnsi="仿宋" w:eastAsia="仿宋"/>
          <w:b/>
          <w:sz w:val="28"/>
          <w:szCs w:val="28"/>
        </w:rPr>
        <w:t>附件：</w:t>
      </w:r>
    </w:p>
    <w:p w14:paraId="1E904376">
      <w:pPr>
        <w:spacing w:line="400" w:lineRule="auto"/>
        <w:jc w:val="center"/>
        <w:rPr>
          <w:rFonts w:ascii="仿宋" w:hAnsi="仿宋" w:eastAsia="仿宋"/>
          <w:sz w:val="28"/>
          <w:szCs w:val="28"/>
        </w:rPr>
      </w:pPr>
      <w:r>
        <w:rPr>
          <w:rFonts w:hint="eastAsia" w:ascii="仿宋" w:hAnsi="仿宋" w:eastAsia="仿宋"/>
          <w:sz w:val="28"/>
          <w:szCs w:val="28"/>
        </w:rPr>
        <w:t>《</w:t>
      </w:r>
      <w:r>
        <w:rPr>
          <w:rFonts w:hint="eastAsia" w:ascii="仿宋" w:hAnsi="仿宋" w:eastAsia="仿宋"/>
          <w:bCs/>
          <w:sz w:val="28"/>
          <w:szCs w:val="28"/>
        </w:rPr>
        <w:t>山东</w:t>
      </w:r>
      <w:r>
        <w:rPr>
          <w:rFonts w:hint="eastAsia" w:ascii="仿宋" w:hAnsi="仿宋" w:eastAsia="仿宋"/>
          <w:sz w:val="28"/>
          <w:szCs w:val="28"/>
        </w:rPr>
        <w:t>济钢环保新材料有限公司</w:t>
      </w:r>
      <w:r>
        <w:rPr>
          <w:rFonts w:hint="eastAsia" w:ascii="仿宋" w:hAnsi="仿宋" w:eastAsia="仿宋" w:cs="Times New Roman"/>
          <w:sz w:val="28"/>
          <w:szCs w:val="28"/>
          <w:lang w:val="en-US" w:eastAsia="zh-CN"/>
        </w:rPr>
        <w:t>2026年度</w:t>
      </w:r>
      <w:r>
        <w:rPr>
          <w:rFonts w:hint="eastAsia" w:ascii="仿宋" w:hAnsi="仿宋" w:eastAsia="仿宋" w:cs="Times New Roman"/>
          <w:sz w:val="28"/>
          <w:szCs w:val="28"/>
        </w:rPr>
        <w:t>安全生产诊断</w:t>
      </w:r>
      <w:r>
        <w:rPr>
          <w:rFonts w:hint="eastAsia" w:ascii="仿宋" w:hAnsi="仿宋" w:eastAsia="仿宋" w:cs="Times New Roman"/>
          <w:sz w:val="28"/>
          <w:szCs w:val="28"/>
          <w:lang w:val="en-US" w:eastAsia="zh-CN"/>
        </w:rPr>
        <w:t>及安全现状评价</w:t>
      </w:r>
      <w:r>
        <w:rPr>
          <w:rFonts w:hint="eastAsia" w:ascii="仿宋" w:hAnsi="仿宋" w:eastAsia="仿宋" w:cs="Times New Roman"/>
          <w:sz w:val="28"/>
          <w:szCs w:val="28"/>
        </w:rPr>
        <w:t>服务》项目报价</w:t>
      </w:r>
      <w:r>
        <w:rPr>
          <w:rFonts w:hint="eastAsia" w:ascii="仿宋" w:hAnsi="仿宋" w:eastAsia="仿宋"/>
          <w:sz w:val="28"/>
          <w:szCs w:val="28"/>
        </w:rPr>
        <w:t>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2799"/>
        <w:gridCol w:w="1609"/>
        <w:gridCol w:w="1200"/>
        <w:gridCol w:w="1200"/>
      </w:tblGrid>
      <w:tr w14:paraId="2813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0" w:type="dxa"/>
            <w:vAlign w:val="center"/>
          </w:tcPr>
          <w:p w14:paraId="75A928BB">
            <w:pPr>
              <w:pStyle w:val="45"/>
              <w:spacing w:line="240" w:lineRule="auto"/>
              <w:ind w:firstLine="0" w:firstLineChars="0"/>
              <w:jc w:val="center"/>
              <w:rPr>
                <w:rFonts w:ascii="宋体" w:hAnsi="宋体"/>
                <w:b/>
                <w:bCs/>
                <w:szCs w:val="24"/>
              </w:rPr>
            </w:pPr>
            <w:r>
              <w:rPr>
                <w:rFonts w:hint="eastAsia" w:ascii="宋体" w:hAnsi="宋体"/>
                <w:szCs w:val="24"/>
              </w:rPr>
              <w:t>项目</w:t>
            </w:r>
          </w:p>
        </w:tc>
        <w:tc>
          <w:tcPr>
            <w:tcW w:w="2799" w:type="dxa"/>
            <w:vAlign w:val="center"/>
          </w:tcPr>
          <w:p w14:paraId="73AE0F35">
            <w:pPr>
              <w:pStyle w:val="45"/>
              <w:spacing w:line="240" w:lineRule="auto"/>
              <w:ind w:firstLine="0" w:firstLineChars="0"/>
              <w:jc w:val="center"/>
              <w:rPr>
                <w:rFonts w:ascii="宋体" w:hAnsi="宋体"/>
                <w:b/>
                <w:bCs/>
                <w:szCs w:val="24"/>
              </w:rPr>
            </w:pPr>
            <w:r>
              <w:rPr>
                <w:rFonts w:hint="eastAsia" w:ascii="宋体" w:hAnsi="宋体"/>
                <w:b/>
                <w:bCs/>
                <w:szCs w:val="24"/>
              </w:rPr>
              <w:t>服务项目</w:t>
            </w:r>
          </w:p>
        </w:tc>
        <w:tc>
          <w:tcPr>
            <w:tcW w:w="1609" w:type="dxa"/>
            <w:vAlign w:val="center"/>
          </w:tcPr>
          <w:p w14:paraId="0B60F259">
            <w:pPr>
              <w:pStyle w:val="45"/>
              <w:spacing w:line="240" w:lineRule="auto"/>
              <w:ind w:firstLine="0" w:firstLineChars="0"/>
              <w:jc w:val="center"/>
              <w:rPr>
                <w:rFonts w:ascii="宋体" w:hAnsi="宋体"/>
                <w:b/>
                <w:bCs/>
                <w:szCs w:val="24"/>
              </w:rPr>
            </w:pPr>
            <w:r>
              <w:rPr>
                <w:rFonts w:hint="eastAsia" w:ascii="宋体" w:hAnsi="宋体"/>
                <w:b/>
                <w:bCs/>
                <w:szCs w:val="24"/>
              </w:rPr>
              <w:t>含税价</w:t>
            </w:r>
          </w:p>
          <w:p w14:paraId="38AAF83E">
            <w:pPr>
              <w:pStyle w:val="45"/>
              <w:spacing w:line="240" w:lineRule="auto"/>
              <w:ind w:firstLine="0" w:firstLineChars="0"/>
              <w:rPr>
                <w:rFonts w:ascii="宋体" w:hAnsi="宋体"/>
                <w:b/>
                <w:bCs/>
                <w:szCs w:val="24"/>
              </w:rPr>
            </w:pPr>
            <w:r>
              <w:rPr>
                <w:rFonts w:hint="eastAsia" w:ascii="宋体" w:hAnsi="宋体"/>
                <w:b/>
                <w:bCs/>
                <w:szCs w:val="24"/>
              </w:rPr>
              <w:t>（税率</w:t>
            </w:r>
            <w:r>
              <w:rPr>
                <w:rFonts w:hint="eastAsia" w:ascii="宋体" w:hAnsi="宋体"/>
                <w:b/>
                <w:bCs/>
                <w:szCs w:val="24"/>
                <w:u w:val="single"/>
              </w:rPr>
              <w:t xml:space="preserve">  </w:t>
            </w:r>
            <w:r>
              <w:rPr>
                <w:rFonts w:hint="eastAsia" w:ascii="宋体" w:hAnsi="宋体"/>
                <w:b/>
                <w:bCs/>
                <w:szCs w:val="24"/>
              </w:rPr>
              <w:t>％）</w:t>
            </w:r>
          </w:p>
        </w:tc>
        <w:tc>
          <w:tcPr>
            <w:tcW w:w="1200" w:type="dxa"/>
            <w:vAlign w:val="center"/>
          </w:tcPr>
          <w:p w14:paraId="0DD9E40E">
            <w:pPr>
              <w:pStyle w:val="45"/>
              <w:spacing w:line="240" w:lineRule="auto"/>
              <w:ind w:firstLine="0" w:firstLineChars="0"/>
              <w:rPr>
                <w:rFonts w:ascii="宋体" w:hAnsi="宋体"/>
                <w:b/>
                <w:bCs/>
                <w:szCs w:val="24"/>
              </w:rPr>
            </w:pPr>
            <w:r>
              <w:rPr>
                <w:rFonts w:hint="eastAsia" w:ascii="宋体" w:hAnsi="宋体"/>
                <w:b/>
                <w:bCs/>
                <w:szCs w:val="24"/>
              </w:rPr>
              <w:t>不含税价</w:t>
            </w:r>
          </w:p>
        </w:tc>
        <w:tc>
          <w:tcPr>
            <w:tcW w:w="1200" w:type="dxa"/>
            <w:vAlign w:val="center"/>
          </w:tcPr>
          <w:p w14:paraId="3B9160BC">
            <w:pPr>
              <w:pStyle w:val="45"/>
              <w:spacing w:line="240" w:lineRule="auto"/>
              <w:ind w:firstLine="0" w:firstLineChars="0"/>
              <w:rPr>
                <w:rFonts w:ascii="宋体" w:hAnsi="宋体"/>
                <w:b/>
                <w:bCs/>
                <w:szCs w:val="24"/>
              </w:rPr>
            </w:pPr>
            <w:r>
              <w:rPr>
                <w:rFonts w:hint="eastAsia" w:ascii="宋体" w:hAnsi="宋体"/>
                <w:b/>
                <w:bCs/>
                <w:szCs w:val="24"/>
              </w:rPr>
              <w:t>备注</w:t>
            </w:r>
          </w:p>
        </w:tc>
      </w:tr>
      <w:tr w14:paraId="109D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00" w:type="dxa"/>
            <w:vMerge w:val="restart"/>
            <w:vAlign w:val="center"/>
          </w:tcPr>
          <w:p w14:paraId="43514E3D">
            <w:pPr>
              <w:pStyle w:val="45"/>
              <w:spacing w:line="240" w:lineRule="auto"/>
              <w:ind w:firstLine="0" w:firstLineChars="0"/>
              <w:jc w:val="center"/>
              <w:rPr>
                <w:rFonts w:ascii="等线" w:hAnsi="等线"/>
                <w:sz w:val="28"/>
                <w:szCs w:val="28"/>
              </w:rPr>
            </w:pPr>
            <w:r>
              <w:rPr>
                <w:rFonts w:hint="eastAsia" w:ascii="宋体" w:hAnsi="宋体" w:eastAsia="宋体" w:cs="宋体"/>
                <w:sz w:val="24"/>
                <w:lang w:val="en-US" w:eastAsia="zh-CN"/>
              </w:rPr>
              <w:t>2026年度</w:t>
            </w:r>
            <w:r>
              <w:rPr>
                <w:rFonts w:hint="eastAsia" w:ascii="宋体" w:hAnsi="宋体" w:eastAsia="宋体" w:cs="宋体"/>
                <w:sz w:val="24"/>
              </w:rPr>
              <w:t>安全生产诊断</w:t>
            </w:r>
            <w:r>
              <w:rPr>
                <w:rFonts w:hint="eastAsia" w:ascii="宋体" w:hAnsi="宋体" w:eastAsia="宋体" w:cs="宋体"/>
                <w:sz w:val="24"/>
                <w:lang w:val="en-US" w:eastAsia="zh-CN"/>
              </w:rPr>
              <w:t>及安全现状评价</w:t>
            </w:r>
            <w:r>
              <w:rPr>
                <w:rFonts w:hint="eastAsia" w:ascii="宋体" w:hAnsi="宋体" w:eastAsia="宋体" w:cs="宋体"/>
                <w:sz w:val="24"/>
              </w:rPr>
              <w:t>服务</w:t>
            </w:r>
          </w:p>
        </w:tc>
        <w:tc>
          <w:tcPr>
            <w:tcW w:w="2799" w:type="dxa"/>
            <w:vAlign w:val="center"/>
          </w:tcPr>
          <w:p w14:paraId="2BA5CA1D">
            <w:pPr>
              <w:adjustRightInd w:val="0"/>
              <w:snapToGrid w:val="0"/>
              <w:jc w:val="center"/>
              <w:rPr>
                <w:rFonts w:ascii="仿宋_GB2312" w:hAnsi="仿宋" w:eastAsia="仿宋_GB2312"/>
                <w:sz w:val="24"/>
              </w:rPr>
            </w:pPr>
            <w:r>
              <w:rPr>
                <w:rFonts w:hint="eastAsia" w:ascii="仿宋_GB2312" w:hAnsi="仿宋" w:eastAsia="仿宋_GB2312"/>
                <w:sz w:val="24"/>
              </w:rPr>
              <w:t>现状图测绘（含打印）</w:t>
            </w:r>
          </w:p>
        </w:tc>
        <w:tc>
          <w:tcPr>
            <w:tcW w:w="1609" w:type="dxa"/>
            <w:vAlign w:val="center"/>
          </w:tcPr>
          <w:p w14:paraId="5ACAB725">
            <w:pPr>
              <w:pStyle w:val="45"/>
              <w:spacing w:line="240" w:lineRule="auto"/>
              <w:ind w:firstLine="0" w:firstLineChars="0"/>
              <w:jc w:val="center"/>
              <w:rPr>
                <w:rFonts w:ascii="等线" w:hAnsi="等线"/>
                <w:szCs w:val="24"/>
              </w:rPr>
            </w:pPr>
          </w:p>
        </w:tc>
        <w:tc>
          <w:tcPr>
            <w:tcW w:w="1200" w:type="dxa"/>
            <w:vAlign w:val="center"/>
          </w:tcPr>
          <w:p w14:paraId="0AC55341">
            <w:pPr>
              <w:pStyle w:val="45"/>
              <w:spacing w:line="240" w:lineRule="auto"/>
              <w:ind w:firstLine="0" w:firstLineChars="0"/>
              <w:jc w:val="center"/>
              <w:rPr>
                <w:rFonts w:ascii="等线" w:hAnsi="等线"/>
                <w:szCs w:val="24"/>
              </w:rPr>
            </w:pPr>
          </w:p>
        </w:tc>
        <w:tc>
          <w:tcPr>
            <w:tcW w:w="1200" w:type="dxa"/>
            <w:vAlign w:val="center"/>
          </w:tcPr>
          <w:p w14:paraId="0AFC502C">
            <w:pPr>
              <w:pStyle w:val="45"/>
              <w:spacing w:line="240" w:lineRule="auto"/>
              <w:ind w:firstLine="0" w:firstLineChars="0"/>
              <w:jc w:val="center"/>
              <w:rPr>
                <w:rFonts w:ascii="等线" w:hAnsi="等线"/>
                <w:szCs w:val="24"/>
              </w:rPr>
            </w:pPr>
          </w:p>
        </w:tc>
      </w:tr>
      <w:tr w14:paraId="4B01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00" w:type="dxa"/>
            <w:vMerge w:val="continue"/>
            <w:vAlign w:val="center"/>
          </w:tcPr>
          <w:p w14:paraId="07881FAD">
            <w:pPr>
              <w:pStyle w:val="45"/>
              <w:spacing w:line="240" w:lineRule="auto"/>
              <w:ind w:firstLine="0" w:firstLineChars="0"/>
              <w:jc w:val="center"/>
              <w:rPr>
                <w:rFonts w:ascii="等线" w:hAnsi="等线"/>
                <w:szCs w:val="24"/>
              </w:rPr>
            </w:pPr>
          </w:p>
        </w:tc>
        <w:tc>
          <w:tcPr>
            <w:tcW w:w="2799" w:type="dxa"/>
            <w:vAlign w:val="center"/>
          </w:tcPr>
          <w:p w14:paraId="29E68076">
            <w:pPr>
              <w:adjustRightInd w:val="0"/>
              <w:snapToGrid w:val="0"/>
              <w:jc w:val="center"/>
              <w:rPr>
                <w:rFonts w:ascii="仿宋_GB2312" w:hAnsi="仿宋" w:eastAsia="仿宋_GB2312"/>
                <w:sz w:val="24"/>
              </w:rPr>
            </w:pPr>
            <w:r>
              <w:rPr>
                <w:rFonts w:hint="eastAsia" w:ascii="仿宋_GB2312" w:hAnsi="宋体" w:eastAsia="仿宋_GB2312"/>
                <w:sz w:val="24"/>
              </w:rPr>
              <w:t>安全</w:t>
            </w:r>
            <w:r>
              <w:rPr>
                <w:rFonts w:hint="eastAsia" w:ascii="仿宋_GB2312" w:hAnsi="宋体" w:eastAsia="仿宋_GB2312"/>
                <w:sz w:val="24"/>
                <w:lang w:val="en-US" w:eastAsia="zh-CN"/>
              </w:rPr>
              <w:t>现状</w:t>
            </w:r>
            <w:r>
              <w:rPr>
                <w:rFonts w:hint="eastAsia" w:ascii="仿宋_GB2312" w:hAnsi="宋体" w:eastAsia="仿宋_GB2312"/>
                <w:sz w:val="24"/>
              </w:rPr>
              <w:t>评价报告（含专家评审费）</w:t>
            </w:r>
          </w:p>
        </w:tc>
        <w:tc>
          <w:tcPr>
            <w:tcW w:w="1609" w:type="dxa"/>
            <w:vAlign w:val="center"/>
          </w:tcPr>
          <w:p w14:paraId="3A093B4D">
            <w:pPr>
              <w:pStyle w:val="45"/>
              <w:spacing w:line="240" w:lineRule="auto"/>
              <w:ind w:firstLine="0" w:firstLineChars="0"/>
              <w:jc w:val="center"/>
              <w:rPr>
                <w:rFonts w:ascii="等线" w:hAnsi="等线"/>
                <w:szCs w:val="24"/>
              </w:rPr>
            </w:pPr>
          </w:p>
        </w:tc>
        <w:tc>
          <w:tcPr>
            <w:tcW w:w="1200" w:type="dxa"/>
            <w:vAlign w:val="center"/>
          </w:tcPr>
          <w:p w14:paraId="020DAB33">
            <w:pPr>
              <w:pStyle w:val="45"/>
              <w:spacing w:line="240" w:lineRule="auto"/>
              <w:ind w:firstLine="0" w:firstLineChars="0"/>
              <w:jc w:val="center"/>
              <w:rPr>
                <w:rFonts w:ascii="等线" w:hAnsi="等线"/>
                <w:szCs w:val="24"/>
              </w:rPr>
            </w:pPr>
          </w:p>
        </w:tc>
        <w:tc>
          <w:tcPr>
            <w:tcW w:w="1200" w:type="dxa"/>
            <w:vAlign w:val="center"/>
          </w:tcPr>
          <w:p w14:paraId="29148D32">
            <w:pPr>
              <w:pStyle w:val="45"/>
              <w:spacing w:line="240" w:lineRule="auto"/>
              <w:ind w:firstLine="0" w:firstLineChars="0"/>
              <w:jc w:val="center"/>
              <w:rPr>
                <w:rFonts w:ascii="等线" w:hAnsi="等线"/>
                <w:szCs w:val="24"/>
              </w:rPr>
            </w:pPr>
            <w:r>
              <w:rPr>
                <w:rFonts w:hint="eastAsia" w:ascii="仿宋_GB2312" w:hAnsi="宋体" w:eastAsia="仿宋_GB2312"/>
              </w:rPr>
              <w:t>明确专家评审费</w:t>
            </w:r>
          </w:p>
        </w:tc>
      </w:tr>
      <w:tr w14:paraId="3DA0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00" w:type="dxa"/>
            <w:vMerge w:val="continue"/>
            <w:vAlign w:val="center"/>
          </w:tcPr>
          <w:p w14:paraId="766E54EB">
            <w:pPr>
              <w:pStyle w:val="45"/>
              <w:spacing w:line="240" w:lineRule="auto"/>
              <w:ind w:firstLine="0" w:firstLineChars="0"/>
              <w:jc w:val="center"/>
              <w:rPr>
                <w:rFonts w:ascii="等线" w:hAnsi="等线"/>
                <w:szCs w:val="24"/>
              </w:rPr>
            </w:pPr>
          </w:p>
        </w:tc>
        <w:tc>
          <w:tcPr>
            <w:tcW w:w="2799" w:type="dxa"/>
            <w:vAlign w:val="center"/>
          </w:tcPr>
          <w:p w14:paraId="3E9AFA61">
            <w:pPr>
              <w:adjustRightInd w:val="0"/>
              <w:snapToGrid w:val="0"/>
              <w:jc w:val="center"/>
              <w:rPr>
                <w:rFonts w:ascii="仿宋_GB2312" w:hAnsi="仿宋" w:eastAsia="仿宋_GB2312"/>
                <w:sz w:val="24"/>
              </w:rPr>
            </w:pPr>
            <w:r>
              <w:rPr>
                <w:rFonts w:hint="eastAsia" w:ascii="仿宋_GB2312" w:hAnsi="仿宋" w:eastAsia="仿宋_GB2312"/>
                <w:sz w:val="24"/>
              </w:rPr>
              <w:t>安许证</w:t>
            </w:r>
            <w:r>
              <w:rPr>
                <w:rFonts w:hint="eastAsia" w:ascii="仿宋_GB2312" w:hAnsi="仿宋" w:eastAsia="仿宋_GB2312"/>
                <w:sz w:val="24"/>
                <w:lang w:val="en-US" w:eastAsia="zh-CN"/>
              </w:rPr>
              <w:t>延期</w:t>
            </w:r>
            <w:r>
              <w:rPr>
                <w:rFonts w:hint="eastAsia" w:ascii="仿宋_GB2312" w:hAnsi="仿宋" w:eastAsia="仿宋_GB2312"/>
                <w:sz w:val="24"/>
              </w:rPr>
              <w:t>现场审查</w:t>
            </w:r>
          </w:p>
          <w:p w14:paraId="4BEF20B9">
            <w:pPr>
              <w:adjustRightInd w:val="0"/>
              <w:snapToGrid w:val="0"/>
              <w:jc w:val="center"/>
              <w:rPr>
                <w:rFonts w:ascii="仿宋_GB2312" w:hAnsi="仿宋" w:eastAsia="仿宋_GB2312"/>
                <w:sz w:val="24"/>
              </w:rPr>
            </w:pPr>
            <w:r>
              <w:rPr>
                <w:rFonts w:hint="eastAsia" w:ascii="仿宋_GB2312" w:hAnsi="仿宋" w:eastAsia="仿宋_GB2312"/>
                <w:sz w:val="24"/>
              </w:rPr>
              <w:t>（含专家费）</w:t>
            </w:r>
          </w:p>
        </w:tc>
        <w:tc>
          <w:tcPr>
            <w:tcW w:w="1609" w:type="dxa"/>
            <w:vAlign w:val="center"/>
          </w:tcPr>
          <w:p w14:paraId="3EA7B7F1">
            <w:pPr>
              <w:pStyle w:val="45"/>
              <w:spacing w:line="240" w:lineRule="auto"/>
              <w:ind w:firstLine="0" w:firstLineChars="0"/>
              <w:jc w:val="center"/>
              <w:rPr>
                <w:rFonts w:ascii="等线" w:hAnsi="等线"/>
                <w:szCs w:val="24"/>
              </w:rPr>
            </w:pPr>
          </w:p>
        </w:tc>
        <w:tc>
          <w:tcPr>
            <w:tcW w:w="1200" w:type="dxa"/>
            <w:vAlign w:val="center"/>
          </w:tcPr>
          <w:p w14:paraId="3EF4F1D3">
            <w:pPr>
              <w:pStyle w:val="45"/>
              <w:spacing w:line="240" w:lineRule="auto"/>
              <w:ind w:firstLine="0" w:firstLineChars="0"/>
              <w:jc w:val="center"/>
              <w:rPr>
                <w:rFonts w:ascii="等线" w:hAnsi="等线"/>
                <w:szCs w:val="24"/>
              </w:rPr>
            </w:pPr>
          </w:p>
        </w:tc>
        <w:tc>
          <w:tcPr>
            <w:tcW w:w="1200" w:type="dxa"/>
            <w:vAlign w:val="center"/>
          </w:tcPr>
          <w:p w14:paraId="6B435B0E">
            <w:pPr>
              <w:pStyle w:val="45"/>
              <w:spacing w:line="240" w:lineRule="auto"/>
              <w:ind w:firstLine="0" w:firstLineChars="0"/>
              <w:jc w:val="center"/>
              <w:rPr>
                <w:rFonts w:ascii="等线" w:hAnsi="等线"/>
                <w:szCs w:val="24"/>
              </w:rPr>
            </w:pPr>
            <w:r>
              <w:rPr>
                <w:rFonts w:hint="eastAsia" w:ascii="仿宋_GB2312" w:hAnsi="宋体" w:eastAsia="仿宋_GB2312"/>
              </w:rPr>
              <w:t>明确专家费</w:t>
            </w:r>
          </w:p>
        </w:tc>
      </w:tr>
      <w:tr w14:paraId="75B1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00" w:type="dxa"/>
            <w:vMerge w:val="continue"/>
            <w:vAlign w:val="center"/>
          </w:tcPr>
          <w:p w14:paraId="7BC91E30">
            <w:pPr>
              <w:pStyle w:val="45"/>
              <w:spacing w:line="240" w:lineRule="auto"/>
              <w:ind w:firstLine="0" w:firstLineChars="0"/>
              <w:jc w:val="center"/>
              <w:rPr>
                <w:rFonts w:ascii="等线" w:hAnsi="等线"/>
                <w:szCs w:val="24"/>
              </w:rPr>
            </w:pPr>
          </w:p>
        </w:tc>
        <w:tc>
          <w:tcPr>
            <w:tcW w:w="2799" w:type="dxa"/>
            <w:vAlign w:val="center"/>
          </w:tcPr>
          <w:p w14:paraId="7CEED32C">
            <w:pPr>
              <w:adjustRightInd w:val="0"/>
              <w:snapToGrid w:val="0"/>
              <w:jc w:val="center"/>
              <w:rPr>
                <w:rFonts w:hint="default" w:ascii="仿宋" w:hAnsi="仿宋" w:eastAsia="仿宋"/>
                <w:sz w:val="28"/>
                <w:szCs w:val="28"/>
                <w:lang w:val="en-US" w:eastAsia="zh-CN"/>
              </w:rPr>
            </w:pPr>
            <w:r>
              <w:rPr>
                <w:rFonts w:hint="eastAsia" w:ascii="仿宋_GB2312" w:hAnsi="仿宋" w:eastAsia="仿宋_GB2312" w:cs="Times New Roman"/>
                <w:sz w:val="24"/>
                <w:lang w:val="en-US" w:eastAsia="zh-CN"/>
              </w:rPr>
              <w:t>安全生产诊断（两次）</w:t>
            </w:r>
          </w:p>
        </w:tc>
        <w:tc>
          <w:tcPr>
            <w:tcW w:w="1609" w:type="dxa"/>
            <w:vAlign w:val="center"/>
          </w:tcPr>
          <w:p w14:paraId="1E9DFB07">
            <w:pPr>
              <w:pStyle w:val="45"/>
              <w:spacing w:line="240" w:lineRule="auto"/>
              <w:ind w:firstLine="0" w:firstLineChars="0"/>
              <w:jc w:val="center"/>
              <w:rPr>
                <w:rFonts w:ascii="等线" w:hAnsi="等线"/>
                <w:szCs w:val="24"/>
              </w:rPr>
            </w:pPr>
          </w:p>
        </w:tc>
        <w:tc>
          <w:tcPr>
            <w:tcW w:w="1200" w:type="dxa"/>
            <w:vAlign w:val="center"/>
          </w:tcPr>
          <w:p w14:paraId="179CE67C">
            <w:pPr>
              <w:pStyle w:val="45"/>
              <w:spacing w:line="240" w:lineRule="auto"/>
              <w:ind w:firstLine="0" w:firstLineChars="0"/>
              <w:jc w:val="center"/>
              <w:rPr>
                <w:rFonts w:ascii="等线" w:hAnsi="等线"/>
                <w:szCs w:val="24"/>
              </w:rPr>
            </w:pPr>
          </w:p>
        </w:tc>
        <w:tc>
          <w:tcPr>
            <w:tcW w:w="1200" w:type="dxa"/>
            <w:vAlign w:val="center"/>
          </w:tcPr>
          <w:p w14:paraId="6D9BFF7C">
            <w:pPr>
              <w:pStyle w:val="45"/>
              <w:spacing w:line="240" w:lineRule="auto"/>
              <w:ind w:firstLine="0" w:firstLineChars="0"/>
              <w:jc w:val="center"/>
              <w:rPr>
                <w:rFonts w:ascii="等线" w:hAnsi="等线"/>
                <w:szCs w:val="24"/>
              </w:rPr>
            </w:pPr>
          </w:p>
        </w:tc>
      </w:tr>
      <w:tr w14:paraId="70FE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00" w:type="dxa"/>
            <w:vMerge w:val="continue"/>
            <w:vAlign w:val="center"/>
          </w:tcPr>
          <w:p w14:paraId="22C872A4">
            <w:pPr>
              <w:pStyle w:val="45"/>
              <w:spacing w:line="240" w:lineRule="auto"/>
              <w:ind w:firstLine="0" w:firstLineChars="0"/>
              <w:jc w:val="center"/>
              <w:rPr>
                <w:rFonts w:ascii="等线" w:hAnsi="等线"/>
                <w:szCs w:val="24"/>
              </w:rPr>
            </w:pPr>
          </w:p>
        </w:tc>
        <w:tc>
          <w:tcPr>
            <w:tcW w:w="2799" w:type="dxa"/>
            <w:vAlign w:val="center"/>
          </w:tcPr>
          <w:p w14:paraId="21E71C2B">
            <w:pPr>
              <w:adjustRightInd w:val="0"/>
              <w:snapToGrid w:val="0"/>
              <w:jc w:val="center"/>
              <w:rPr>
                <w:rFonts w:ascii="仿宋" w:hAnsi="仿宋" w:eastAsia="仿宋"/>
                <w:sz w:val="28"/>
                <w:szCs w:val="28"/>
              </w:rPr>
            </w:pPr>
            <w:r>
              <w:rPr>
                <w:rFonts w:ascii="仿宋" w:hAnsi="仿宋" w:eastAsia="仿宋"/>
                <w:sz w:val="28"/>
                <w:szCs w:val="28"/>
              </w:rPr>
              <w:t>…</w:t>
            </w:r>
          </w:p>
        </w:tc>
        <w:tc>
          <w:tcPr>
            <w:tcW w:w="1609" w:type="dxa"/>
            <w:vAlign w:val="center"/>
          </w:tcPr>
          <w:p w14:paraId="5C5D3763">
            <w:pPr>
              <w:pStyle w:val="45"/>
              <w:spacing w:line="240" w:lineRule="auto"/>
              <w:ind w:firstLine="0" w:firstLineChars="0"/>
              <w:jc w:val="center"/>
              <w:rPr>
                <w:rFonts w:ascii="等线" w:hAnsi="等线"/>
                <w:szCs w:val="24"/>
              </w:rPr>
            </w:pPr>
          </w:p>
        </w:tc>
        <w:tc>
          <w:tcPr>
            <w:tcW w:w="1200" w:type="dxa"/>
            <w:vAlign w:val="center"/>
          </w:tcPr>
          <w:p w14:paraId="7A4B313F">
            <w:pPr>
              <w:pStyle w:val="45"/>
              <w:spacing w:line="240" w:lineRule="auto"/>
              <w:ind w:firstLine="0" w:firstLineChars="0"/>
              <w:jc w:val="center"/>
              <w:rPr>
                <w:rFonts w:ascii="等线" w:hAnsi="等线"/>
                <w:szCs w:val="24"/>
              </w:rPr>
            </w:pPr>
          </w:p>
        </w:tc>
        <w:tc>
          <w:tcPr>
            <w:tcW w:w="1200" w:type="dxa"/>
            <w:vAlign w:val="center"/>
          </w:tcPr>
          <w:p w14:paraId="69150135">
            <w:pPr>
              <w:pStyle w:val="45"/>
              <w:spacing w:line="240" w:lineRule="auto"/>
              <w:ind w:firstLine="0" w:firstLineChars="0"/>
              <w:jc w:val="center"/>
              <w:rPr>
                <w:rFonts w:ascii="等线" w:hAnsi="等线"/>
                <w:szCs w:val="24"/>
              </w:rPr>
            </w:pPr>
          </w:p>
        </w:tc>
      </w:tr>
      <w:tr w14:paraId="53F5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00" w:type="dxa"/>
            <w:vAlign w:val="center"/>
          </w:tcPr>
          <w:p w14:paraId="2AF0A12A">
            <w:pPr>
              <w:pStyle w:val="45"/>
              <w:spacing w:line="240" w:lineRule="auto"/>
              <w:ind w:firstLine="0" w:firstLineChars="0"/>
              <w:jc w:val="center"/>
              <w:rPr>
                <w:rFonts w:ascii="等线" w:hAnsi="等线"/>
                <w:szCs w:val="24"/>
              </w:rPr>
            </w:pPr>
            <w:r>
              <w:rPr>
                <w:rFonts w:hint="eastAsia" w:ascii="等线" w:hAnsi="等线"/>
                <w:szCs w:val="24"/>
              </w:rPr>
              <w:t>总计</w:t>
            </w:r>
          </w:p>
        </w:tc>
        <w:tc>
          <w:tcPr>
            <w:tcW w:w="2799" w:type="dxa"/>
            <w:vAlign w:val="center"/>
          </w:tcPr>
          <w:p w14:paraId="5A06228B">
            <w:pPr>
              <w:jc w:val="center"/>
              <w:rPr>
                <w:rFonts w:ascii="Times New Roman" w:hAnsi="Times New Roman"/>
                <w:sz w:val="24"/>
              </w:rPr>
            </w:pPr>
          </w:p>
        </w:tc>
        <w:tc>
          <w:tcPr>
            <w:tcW w:w="1609" w:type="dxa"/>
            <w:vAlign w:val="center"/>
          </w:tcPr>
          <w:p w14:paraId="38168003">
            <w:pPr>
              <w:pStyle w:val="45"/>
              <w:spacing w:line="240" w:lineRule="auto"/>
              <w:ind w:firstLine="0" w:firstLineChars="0"/>
              <w:jc w:val="center"/>
              <w:rPr>
                <w:rFonts w:ascii="等线" w:hAnsi="等线"/>
                <w:szCs w:val="24"/>
              </w:rPr>
            </w:pPr>
          </w:p>
        </w:tc>
        <w:tc>
          <w:tcPr>
            <w:tcW w:w="1200" w:type="dxa"/>
            <w:vAlign w:val="center"/>
          </w:tcPr>
          <w:p w14:paraId="56FC2CF4">
            <w:pPr>
              <w:pStyle w:val="45"/>
              <w:spacing w:line="240" w:lineRule="auto"/>
              <w:ind w:firstLine="0" w:firstLineChars="0"/>
              <w:jc w:val="center"/>
              <w:rPr>
                <w:rFonts w:ascii="等线" w:hAnsi="等线"/>
                <w:szCs w:val="24"/>
              </w:rPr>
            </w:pPr>
          </w:p>
        </w:tc>
        <w:tc>
          <w:tcPr>
            <w:tcW w:w="1200" w:type="dxa"/>
            <w:vAlign w:val="center"/>
          </w:tcPr>
          <w:p w14:paraId="5E664459">
            <w:pPr>
              <w:pStyle w:val="45"/>
              <w:spacing w:line="240" w:lineRule="auto"/>
              <w:ind w:firstLine="0" w:firstLineChars="0"/>
              <w:jc w:val="center"/>
              <w:rPr>
                <w:rFonts w:ascii="等线" w:hAnsi="等线"/>
                <w:szCs w:val="24"/>
              </w:rPr>
            </w:pPr>
          </w:p>
        </w:tc>
      </w:tr>
    </w:tbl>
    <w:p w14:paraId="4595F887">
      <w:pPr>
        <w:jc w:val="left"/>
      </w:pPr>
      <w:r>
        <w:rPr>
          <w:rFonts w:hint="eastAsia" w:ascii="仿宋" w:hAnsi="仿宋" w:eastAsia="仿宋"/>
          <w:sz w:val="28"/>
          <w:szCs w:val="28"/>
        </w:rPr>
        <w:t>备注：本次报价费用包含图纸绘制及打印费、安全</w:t>
      </w:r>
      <w:r>
        <w:rPr>
          <w:rFonts w:hint="eastAsia" w:ascii="仿宋" w:hAnsi="仿宋" w:eastAsia="仿宋"/>
          <w:sz w:val="28"/>
          <w:szCs w:val="28"/>
          <w:lang w:val="en-US" w:eastAsia="zh-CN"/>
        </w:rPr>
        <w:t>生产诊断及现状</w:t>
      </w:r>
      <w:r>
        <w:rPr>
          <w:rFonts w:hint="eastAsia" w:ascii="仿宋" w:hAnsi="仿宋" w:eastAsia="仿宋"/>
          <w:sz w:val="28"/>
          <w:szCs w:val="28"/>
        </w:rPr>
        <w:t>验收评价报告编制费、专家费、税金、其他费用等。</w:t>
      </w:r>
    </w:p>
    <w:p w14:paraId="704C1F38">
      <w:pPr>
        <w:spacing w:line="560" w:lineRule="exact"/>
        <w:jc w:val="center"/>
        <w:rPr>
          <w:rFonts w:ascii="仿宋" w:hAnsi="仿宋" w:eastAsia="仿宋"/>
          <w:sz w:val="28"/>
          <w:szCs w:val="28"/>
        </w:rPr>
      </w:pPr>
      <w:r>
        <w:rPr>
          <w:rFonts w:hint="eastAsia" w:ascii="仿宋" w:hAnsi="仿宋" w:eastAsia="仿宋"/>
          <w:sz w:val="28"/>
          <w:szCs w:val="28"/>
        </w:rPr>
        <w:t xml:space="preserve">         单位名称：（盖章）</w:t>
      </w:r>
    </w:p>
    <w:p w14:paraId="3DD996E5">
      <w:pPr>
        <w:spacing w:line="560" w:lineRule="exact"/>
        <w:jc w:val="center"/>
        <w:rPr>
          <w:rFonts w:ascii="仿宋" w:hAnsi="仿宋" w:eastAsia="仿宋"/>
          <w:sz w:val="28"/>
          <w:szCs w:val="28"/>
        </w:rPr>
      </w:pPr>
      <w:r>
        <w:rPr>
          <w:rFonts w:hint="eastAsia" w:ascii="仿宋" w:hAnsi="仿宋" w:eastAsia="仿宋"/>
          <w:sz w:val="28"/>
          <w:szCs w:val="28"/>
        </w:rPr>
        <w:t xml:space="preserve">                          法定代表人或授权代表：（盖章或签章）</w:t>
      </w:r>
    </w:p>
    <w:p w14:paraId="2B5D1C07">
      <w:pPr>
        <w:spacing w:line="560" w:lineRule="exact"/>
        <w:jc w:val="center"/>
        <w:rPr>
          <w:rFonts w:ascii="仿宋" w:hAnsi="仿宋" w:eastAsia="仿宋"/>
          <w:sz w:val="28"/>
          <w:szCs w:val="28"/>
        </w:rPr>
      </w:pPr>
      <w:r>
        <w:rPr>
          <w:rFonts w:hint="eastAsia" w:ascii="仿宋" w:hAnsi="仿宋" w:eastAsia="仿宋"/>
          <w:sz w:val="28"/>
          <w:szCs w:val="28"/>
        </w:rPr>
        <w:t xml:space="preserve">          日期：</w:t>
      </w:r>
    </w:p>
    <w:p w14:paraId="200B3323">
      <w:pPr>
        <w:pStyle w:val="2"/>
        <w:rPr>
          <w:rFonts w:ascii="仿宋" w:hAnsi="仿宋" w:eastAsia="仿宋"/>
          <w:color w:val="auto"/>
          <w:sz w:val="28"/>
          <w:szCs w:val="28"/>
        </w:rPr>
      </w:pPr>
    </w:p>
    <w:p w14:paraId="76826880">
      <w:pPr>
        <w:pStyle w:val="36"/>
        <w:rPr>
          <w:rFonts w:asciiTheme="minorEastAsia" w:hAnsiTheme="minorEastAsia" w:eastAsiaTheme="minorEastAsia"/>
        </w:rPr>
      </w:pPr>
      <w:r>
        <w:rPr>
          <w:rFonts w:hint="eastAsia" w:asciiTheme="minorEastAsia" w:hAnsiTheme="minorEastAsia" w:eastAsiaTheme="minorEastAsia"/>
        </w:rPr>
        <w:t>6、服务保障方案</w:t>
      </w:r>
    </w:p>
    <w:p w14:paraId="60423F51">
      <w:pPr>
        <w:pStyle w:val="36"/>
        <w:tabs>
          <w:tab w:val="clear" w:pos="851"/>
        </w:tabs>
        <w:ind w:left="0" w:firstLine="480" w:firstLineChars="200"/>
        <w:rPr>
          <w:rFonts w:asciiTheme="minorEastAsia" w:hAnsiTheme="minorEastAsia" w:eastAsiaTheme="minorEastAsia"/>
        </w:rPr>
      </w:pPr>
      <w:r>
        <w:rPr>
          <w:rFonts w:hint="eastAsia" w:asciiTheme="minorEastAsia" w:hAnsiTheme="minorEastAsia" w:eastAsiaTheme="minorEastAsia"/>
        </w:rPr>
        <w:t>为了确保项目顺利完成，需投标单位提供在项目实施过程中的工期安排及技术服务人员的分工、工作计划、现场安全措施、工作配合需求等内容的一套服务保障方案。（签盖公章）</w:t>
      </w:r>
    </w:p>
    <w:p w14:paraId="7D7CB86A">
      <w:pPr>
        <w:widowControl/>
        <w:jc w:val="left"/>
      </w:pPr>
    </w:p>
    <w:p w14:paraId="42907CD2">
      <w:pPr>
        <w:widowControl/>
        <w:jc w:val="left"/>
      </w:pPr>
    </w:p>
    <w:p w14:paraId="35AE25B4">
      <w:pPr>
        <w:widowControl/>
        <w:jc w:val="left"/>
      </w:pPr>
      <w:r>
        <w:rPr>
          <w:rFonts w:hint="eastAsia"/>
        </w:rPr>
        <w:t>7、商务偏差表</w:t>
      </w:r>
    </w:p>
    <w:p w14:paraId="68B558FD">
      <w:pPr>
        <w:spacing w:line="360" w:lineRule="auto"/>
        <w:jc w:val="center"/>
        <w:rPr>
          <w:rFonts w:cs="仿宋"/>
          <w:b/>
        </w:rPr>
      </w:pPr>
      <w:r>
        <w:rPr>
          <w:rFonts w:hint="eastAsia" w:cs="仿宋"/>
          <w:b/>
        </w:rPr>
        <w:t>商务偏差表</w:t>
      </w:r>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4"/>
        <w:gridCol w:w="1331"/>
        <w:gridCol w:w="992"/>
        <w:gridCol w:w="2551"/>
        <w:gridCol w:w="1985"/>
        <w:gridCol w:w="1417"/>
      </w:tblGrid>
      <w:tr w14:paraId="46F1C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restart"/>
            <w:tcBorders>
              <w:top w:val="single" w:color="000000" w:sz="4" w:space="0"/>
              <w:left w:val="single" w:color="000000" w:sz="4" w:space="0"/>
              <w:bottom w:val="single" w:color="000000" w:sz="4" w:space="0"/>
              <w:right w:val="single" w:color="000000" w:sz="4" w:space="0"/>
            </w:tcBorders>
            <w:vAlign w:val="center"/>
          </w:tcPr>
          <w:p w14:paraId="7689E6DE">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商务偏差</w:t>
            </w:r>
          </w:p>
        </w:tc>
        <w:tc>
          <w:tcPr>
            <w:tcW w:w="1331" w:type="dxa"/>
            <w:tcBorders>
              <w:top w:val="single" w:color="000000" w:sz="4" w:space="0"/>
              <w:left w:val="single" w:color="000000" w:sz="4" w:space="0"/>
              <w:bottom w:val="single" w:color="000000" w:sz="4" w:space="0"/>
              <w:right w:val="single" w:color="000000" w:sz="4" w:space="0"/>
            </w:tcBorders>
            <w:vAlign w:val="center"/>
          </w:tcPr>
          <w:p w14:paraId="6BC28F36">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条目</w:t>
            </w:r>
          </w:p>
        </w:tc>
        <w:tc>
          <w:tcPr>
            <w:tcW w:w="992" w:type="dxa"/>
            <w:tcBorders>
              <w:top w:val="single" w:color="000000" w:sz="4" w:space="0"/>
              <w:left w:val="single" w:color="000000" w:sz="4" w:space="0"/>
              <w:bottom w:val="single" w:color="000000" w:sz="4" w:space="0"/>
              <w:right w:val="single" w:color="000000" w:sz="4" w:space="0"/>
            </w:tcBorders>
            <w:vAlign w:val="center"/>
          </w:tcPr>
          <w:p w14:paraId="09A11798">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页码</w:t>
            </w:r>
          </w:p>
        </w:tc>
        <w:tc>
          <w:tcPr>
            <w:tcW w:w="2551" w:type="dxa"/>
            <w:tcBorders>
              <w:top w:val="single" w:color="000000" w:sz="4" w:space="0"/>
              <w:left w:val="single" w:color="000000" w:sz="4" w:space="0"/>
              <w:bottom w:val="single" w:color="000000" w:sz="4" w:space="0"/>
              <w:right w:val="single" w:color="000000" w:sz="4" w:space="0"/>
            </w:tcBorders>
            <w:vAlign w:val="center"/>
          </w:tcPr>
          <w:p w14:paraId="1887E687">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谈判文件规定</w:t>
            </w:r>
          </w:p>
        </w:tc>
        <w:tc>
          <w:tcPr>
            <w:tcW w:w="1985" w:type="dxa"/>
            <w:tcBorders>
              <w:top w:val="single" w:color="000000" w:sz="4" w:space="0"/>
              <w:left w:val="single" w:color="000000" w:sz="4" w:space="0"/>
              <w:bottom w:val="single" w:color="000000" w:sz="4" w:space="0"/>
              <w:right w:val="single" w:color="000000" w:sz="4" w:space="0"/>
            </w:tcBorders>
            <w:vAlign w:val="center"/>
          </w:tcPr>
          <w:p w14:paraId="0B8605EF">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偏差</w:t>
            </w:r>
          </w:p>
        </w:tc>
        <w:tc>
          <w:tcPr>
            <w:tcW w:w="1417" w:type="dxa"/>
            <w:tcBorders>
              <w:top w:val="single" w:color="000000" w:sz="4" w:space="0"/>
              <w:left w:val="single" w:color="000000" w:sz="4" w:space="0"/>
              <w:bottom w:val="single" w:color="000000" w:sz="4" w:space="0"/>
              <w:right w:val="single" w:color="000000" w:sz="4" w:space="0"/>
            </w:tcBorders>
            <w:vAlign w:val="center"/>
          </w:tcPr>
          <w:p w14:paraId="22C68D4B">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备注</w:t>
            </w:r>
          </w:p>
        </w:tc>
      </w:tr>
      <w:tr w14:paraId="6B3C8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22FA46F9">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58EF0CD9">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586A7905">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10883623">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59F00BA4">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3FFC7E5">
            <w:pPr>
              <w:overflowPunct w:val="0"/>
              <w:topLinePunct/>
              <w:spacing w:line="360" w:lineRule="auto"/>
              <w:ind w:right="14"/>
              <w:jc w:val="center"/>
              <w:rPr>
                <w:rFonts w:ascii="仿宋" w:hAnsi="仿宋" w:eastAsia="仿宋" w:cs="仿宋"/>
                <w:position w:val="-9"/>
              </w:rPr>
            </w:pPr>
          </w:p>
        </w:tc>
      </w:tr>
      <w:tr w14:paraId="46E59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4E1A38D2">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0AE10172">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7BB7E0B2">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7429D5D0">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4811B493">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E680002">
            <w:pPr>
              <w:overflowPunct w:val="0"/>
              <w:topLinePunct/>
              <w:spacing w:line="360" w:lineRule="auto"/>
              <w:ind w:right="14"/>
              <w:jc w:val="center"/>
              <w:rPr>
                <w:rFonts w:ascii="仿宋" w:hAnsi="仿宋" w:eastAsia="仿宋" w:cs="仿宋"/>
                <w:position w:val="-9"/>
              </w:rPr>
            </w:pPr>
          </w:p>
        </w:tc>
      </w:tr>
      <w:tr w14:paraId="5A3FF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67BEC8AA">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118A557D">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34E5193E">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129E477A">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0D9FDA29">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7C4858BD">
            <w:pPr>
              <w:overflowPunct w:val="0"/>
              <w:topLinePunct/>
              <w:spacing w:line="360" w:lineRule="auto"/>
              <w:ind w:right="14"/>
              <w:jc w:val="center"/>
              <w:rPr>
                <w:rFonts w:ascii="仿宋" w:hAnsi="仿宋" w:eastAsia="仿宋" w:cs="仿宋"/>
                <w:position w:val="-9"/>
              </w:rPr>
            </w:pPr>
          </w:p>
        </w:tc>
      </w:tr>
      <w:tr w14:paraId="36392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69516FED">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3968C404">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04AA3936">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2B30551F">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4AF1CE94">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278C5A0">
            <w:pPr>
              <w:overflowPunct w:val="0"/>
              <w:topLinePunct/>
              <w:spacing w:line="360" w:lineRule="auto"/>
              <w:ind w:right="14"/>
              <w:jc w:val="center"/>
              <w:rPr>
                <w:rFonts w:ascii="仿宋" w:hAnsi="仿宋" w:eastAsia="仿宋" w:cs="仿宋"/>
                <w:position w:val="-9"/>
              </w:rPr>
            </w:pPr>
          </w:p>
        </w:tc>
      </w:tr>
      <w:tr w14:paraId="7168C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vAlign w:val="center"/>
          </w:tcPr>
          <w:p w14:paraId="0E333BBA">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vAlign w:val="center"/>
          </w:tcPr>
          <w:p w14:paraId="0B8EFE20">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29F5F3A4">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2EFD0034">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08CC413F">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EE0ECB4">
            <w:pPr>
              <w:overflowPunct w:val="0"/>
              <w:topLinePunct/>
              <w:spacing w:line="360" w:lineRule="auto"/>
              <w:ind w:right="14"/>
              <w:jc w:val="center"/>
              <w:rPr>
                <w:rFonts w:ascii="仿宋" w:hAnsi="仿宋" w:eastAsia="仿宋" w:cs="仿宋"/>
                <w:position w:val="-9"/>
              </w:rPr>
            </w:pPr>
          </w:p>
        </w:tc>
      </w:tr>
    </w:tbl>
    <w:p w14:paraId="53303186">
      <w:pPr>
        <w:spacing w:line="360" w:lineRule="auto"/>
        <w:ind w:firstLine="140" w:firstLineChars="67"/>
        <w:rPr>
          <w:rFonts w:ascii="仿宋" w:hAnsi="仿宋" w:eastAsia="仿宋" w:cs="仿宋"/>
        </w:rPr>
      </w:pPr>
      <w:r>
        <w:rPr>
          <w:rFonts w:hint="eastAsia" w:cs="仿宋"/>
        </w:rPr>
        <w:t>注：若无商务偏差，本表可不填。</w:t>
      </w:r>
    </w:p>
    <w:p w14:paraId="01C93847">
      <w:pPr>
        <w:spacing w:line="360" w:lineRule="auto"/>
        <w:ind w:firstLine="3990" w:firstLineChars="1900"/>
        <w:rPr>
          <w:rFonts w:cs="仿宋"/>
        </w:rPr>
      </w:pPr>
      <w:r>
        <w:rPr>
          <w:rFonts w:hint="eastAsia" w:cs="仿宋"/>
        </w:rPr>
        <w:t>供应商：（盖单位章）</w:t>
      </w:r>
    </w:p>
    <w:p w14:paraId="35F7F392">
      <w:pPr>
        <w:spacing w:line="360" w:lineRule="auto"/>
        <w:ind w:firstLine="3990" w:firstLineChars="1900"/>
        <w:rPr>
          <w:rFonts w:cs="仿宋"/>
        </w:rPr>
      </w:pPr>
      <w:r>
        <w:rPr>
          <w:rFonts w:hint="eastAsia" w:cs="仿宋"/>
        </w:rPr>
        <w:t>法定代表人或其委托代理人：（签字）</w:t>
      </w:r>
    </w:p>
    <w:p w14:paraId="0DBA407F">
      <w:pPr>
        <w:spacing w:line="360" w:lineRule="auto"/>
        <w:ind w:firstLine="3990" w:firstLineChars="1900"/>
        <w:rPr>
          <w:rFonts w:cs="仿宋"/>
        </w:rPr>
      </w:pPr>
      <w:r>
        <w:rPr>
          <w:rFonts w:hint="eastAsia" w:cs="仿宋"/>
        </w:rPr>
        <w:t>年月日</w:t>
      </w:r>
    </w:p>
    <w:p w14:paraId="3A4B3F74">
      <w:pPr>
        <w:spacing w:line="360" w:lineRule="auto"/>
        <w:ind w:firstLine="6090" w:firstLineChars="2900"/>
        <w:rPr>
          <w:rFonts w:ascii="仿宋" w:hAnsi="仿宋" w:eastAsia="仿宋" w:cs="仿宋"/>
        </w:rPr>
      </w:pPr>
    </w:p>
    <w:p w14:paraId="419A2E3B">
      <w:pPr>
        <w:pStyle w:val="36"/>
        <w:jc w:val="center"/>
      </w:pPr>
    </w:p>
    <w:p w14:paraId="5442B6ED">
      <w:pPr>
        <w:pStyle w:val="36"/>
        <w:jc w:val="center"/>
      </w:pPr>
      <w:bookmarkStart w:id="236" w:name="_Toc508871760"/>
    </w:p>
    <w:p w14:paraId="498ADA1D">
      <w:pPr>
        <w:pStyle w:val="36"/>
        <w:ind w:left="0" w:firstLine="0"/>
        <w:jc w:val="left"/>
      </w:pPr>
      <w:r>
        <w:rPr>
          <w:rFonts w:hint="eastAsia" w:ascii="宋体" w:hAnsi="宋体" w:eastAsia="宋体" w:cs="仿宋"/>
          <w:szCs w:val="24"/>
        </w:rPr>
        <w:t>8、供应商认为应补充的其他商务及技术性资料</w:t>
      </w:r>
      <w:bookmarkEnd w:id="236"/>
    </w:p>
    <w:p w14:paraId="6D7B7941"/>
    <w:p w14:paraId="42EC7969">
      <w:pPr>
        <w:pStyle w:val="2"/>
        <w:rPr>
          <w:rFonts w:ascii="仿宋" w:hAnsi="仿宋" w:eastAsia="仿宋"/>
          <w:color w:val="auto"/>
          <w:sz w:val="28"/>
          <w:szCs w:val="28"/>
        </w:rPr>
      </w:pPr>
    </w:p>
    <w:p w14:paraId="5F996C1F">
      <w:pPr>
        <w:pStyle w:val="16"/>
        <w:ind w:firstLine="562"/>
        <w:rPr>
          <w:rFonts w:ascii="仿宋" w:hAnsi="仿宋" w:eastAsia="仿宋"/>
          <w:b/>
          <w:sz w:val="28"/>
          <w:szCs w:val="28"/>
        </w:rPr>
      </w:pPr>
    </w:p>
    <w:p w14:paraId="1D9B4D28"/>
    <w:sectPr>
      <w:pgSz w:w="11906" w:h="16838"/>
      <w:pgMar w:top="1440" w:right="1800" w:bottom="1440" w:left="1800"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iconfon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7AF2">
    <w:pPr>
      <w:pStyle w:val="11"/>
      <w:jc w:val="center"/>
    </w:pPr>
    <w:r>
      <w:fldChar w:fldCharType="begin"/>
    </w:r>
    <w:r>
      <w:rPr>
        <w:rStyle w:val="21"/>
      </w:rPr>
      <w:instrText xml:space="preserve"> PAGE </w:instrText>
    </w:r>
    <w:r>
      <w:fldChar w:fldCharType="separate"/>
    </w:r>
    <w:r>
      <w:rPr>
        <w:rStyle w:val="21"/>
      </w:rPr>
      <w:t>1</w:t>
    </w:r>
    <w:r>
      <w:fldChar w:fldCharType="end"/>
    </w:r>
  </w:p>
  <w:p w14:paraId="02A115E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C0947">
    <w:pPr>
      <w:pStyle w:val="11"/>
      <w:ind w:right="360"/>
    </w:pPr>
    <w:r>
      <w:pict>
        <v:rect id="文本框1" o:spid="_x0000_s3074" o:spt="1"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v:textbox inset="0mm,0mm,0mm,0mm" style="mso-fit-shape-to-text:t;">
            <w:txbxContent>
              <w:p w14:paraId="2E773B5D">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- 16 -</w:t>
                </w:r>
                <w:r>
                  <w:rPr>
                    <w:rFonts w:hint="eastAsia" w:ascii="宋体" w:hAnsi="宋体" w:cs="宋体"/>
                    <w:sz w:val="28"/>
                    <w:szCs w:val="28"/>
                  </w:rPr>
                  <w:fldChar w:fldCharType="end"/>
                </w:r>
              </w:p>
            </w:txbxContent>
          </v:textbox>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A1785">
    <w:pPr>
      <w:pStyle w:val="11"/>
      <w:framePr w:wrap="around" w:vAnchor="page" w:hAnchor="page" w:xAlign="right" w:yAlign="center"/>
      <w:rPr>
        <w:rStyle w:val="21"/>
      </w:rPr>
    </w:pPr>
    <w:r>
      <w:fldChar w:fldCharType="begin"/>
    </w:r>
    <w:r>
      <w:rPr>
        <w:rStyle w:val="21"/>
      </w:rPr>
      <w:instrText xml:space="preserve">PAGE  </w:instrText>
    </w:r>
    <w:r>
      <w:fldChar w:fldCharType="separate"/>
    </w:r>
    <w:r>
      <w:rPr>
        <w:rStyle w:val="21"/>
      </w:rPr>
      <w:t>- 12 -</w:t>
    </w:r>
    <w:r>
      <w:fldChar w:fldCharType="end"/>
    </w:r>
  </w:p>
  <w:p w14:paraId="0D420BDD">
    <w:pPr>
      <w:pStyle w:val="1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7442C">
    <w:pPr>
      <w:pStyle w:val="1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t>- 12 -</w:t>
    </w:r>
    <w:r>
      <w:rPr>
        <w:rFonts w:ascii="宋体" w:hAnsi="宋体"/>
        <w:sz w:val="28"/>
        <w:szCs w:val="28"/>
      </w:rPr>
      <w:fldChar w:fldCharType="end"/>
    </w:r>
  </w:p>
  <w:p w14:paraId="769DBE99">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9F93A">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7</w:t>
    </w:r>
    <w:r>
      <w:fldChar w:fldCharType="end"/>
    </w:r>
  </w:p>
  <w:p w14:paraId="04DEFB0E">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BEA5F">
    <w:pPr>
      <w:pStyle w:val="11"/>
      <w:framePr w:wrap="around" w:vAnchor="text" w:hAnchor="margin" w:xAlign="center" w:y="1"/>
      <w:rPr>
        <w:rStyle w:val="21"/>
      </w:rPr>
    </w:pPr>
    <w:r>
      <w:fldChar w:fldCharType="begin"/>
    </w:r>
    <w:r>
      <w:rPr>
        <w:rStyle w:val="21"/>
      </w:rPr>
      <w:instrText xml:space="preserve">PAGE  </w:instrText>
    </w:r>
    <w:r>
      <w:fldChar w:fldCharType="end"/>
    </w:r>
  </w:p>
  <w:p w14:paraId="0A8A7195">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FFB5D">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GM3Y2JkYTk2OWU3ZjIwZmQyNWI1NjY4ZmY3MTQ0ODcifQ=="/>
  </w:docVars>
  <w:rsids>
    <w:rsidRoot w:val="004B4178"/>
    <w:rsid w:val="000170A2"/>
    <w:rsid w:val="00020D15"/>
    <w:rsid w:val="000619A2"/>
    <w:rsid w:val="000723E8"/>
    <w:rsid w:val="000C635E"/>
    <w:rsid w:val="000D4837"/>
    <w:rsid w:val="00177293"/>
    <w:rsid w:val="0018491B"/>
    <w:rsid w:val="001C71F7"/>
    <w:rsid w:val="001D5A5D"/>
    <w:rsid w:val="0021648F"/>
    <w:rsid w:val="00250B86"/>
    <w:rsid w:val="00287322"/>
    <w:rsid w:val="002E215C"/>
    <w:rsid w:val="00323AD5"/>
    <w:rsid w:val="003333D2"/>
    <w:rsid w:val="003D690E"/>
    <w:rsid w:val="004A35DC"/>
    <w:rsid w:val="004B2630"/>
    <w:rsid w:val="004B4178"/>
    <w:rsid w:val="004E2068"/>
    <w:rsid w:val="004F1925"/>
    <w:rsid w:val="00520B81"/>
    <w:rsid w:val="0054271C"/>
    <w:rsid w:val="0054419F"/>
    <w:rsid w:val="00586B08"/>
    <w:rsid w:val="00591886"/>
    <w:rsid w:val="00635C39"/>
    <w:rsid w:val="006B2226"/>
    <w:rsid w:val="006C6489"/>
    <w:rsid w:val="006D1F61"/>
    <w:rsid w:val="006D7DA2"/>
    <w:rsid w:val="006F6E17"/>
    <w:rsid w:val="0073747E"/>
    <w:rsid w:val="007C79BE"/>
    <w:rsid w:val="008602C5"/>
    <w:rsid w:val="008950FF"/>
    <w:rsid w:val="00896302"/>
    <w:rsid w:val="008A2720"/>
    <w:rsid w:val="00AC7A25"/>
    <w:rsid w:val="00B1482F"/>
    <w:rsid w:val="00C34F93"/>
    <w:rsid w:val="00CB7607"/>
    <w:rsid w:val="00D44487"/>
    <w:rsid w:val="00E333BE"/>
    <w:rsid w:val="00E42B75"/>
    <w:rsid w:val="00E62C73"/>
    <w:rsid w:val="00E63772"/>
    <w:rsid w:val="00E96A2C"/>
    <w:rsid w:val="00F06566"/>
    <w:rsid w:val="00F935EC"/>
    <w:rsid w:val="00FF37C4"/>
    <w:rsid w:val="00FF4E15"/>
    <w:rsid w:val="019338BB"/>
    <w:rsid w:val="0358298F"/>
    <w:rsid w:val="049F50E1"/>
    <w:rsid w:val="05852C20"/>
    <w:rsid w:val="0C130985"/>
    <w:rsid w:val="0CBE430D"/>
    <w:rsid w:val="0CCA40D0"/>
    <w:rsid w:val="0DDA0463"/>
    <w:rsid w:val="0FA64884"/>
    <w:rsid w:val="0FF71304"/>
    <w:rsid w:val="18B4161C"/>
    <w:rsid w:val="1DDD7650"/>
    <w:rsid w:val="220A5F40"/>
    <w:rsid w:val="26EB1E4A"/>
    <w:rsid w:val="27D00779"/>
    <w:rsid w:val="2B763691"/>
    <w:rsid w:val="2FFD1261"/>
    <w:rsid w:val="359824DB"/>
    <w:rsid w:val="364B0016"/>
    <w:rsid w:val="3845188F"/>
    <w:rsid w:val="38F70137"/>
    <w:rsid w:val="39575E9B"/>
    <w:rsid w:val="39783134"/>
    <w:rsid w:val="3F0938EC"/>
    <w:rsid w:val="4133005E"/>
    <w:rsid w:val="49526AC1"/>
    <w:rsid w:val="4BAA77E1"/>
    <w:rsid w:val="4F4502D5"/>
    <w:rsid w:val="50FB40D2"/>
    <w:rsid w:val="512A6CF1"/>
    <w:rsid w:val="55706133"/>
    <w:rsid w:val="572F1CAD"/>
    <w:rsid w:val="58AD3695"/>
    <w:rsid w:val="58D44DF8"/>
    <w:rsid w:val="59C51384"/>
    <w:rsid w:val="5A4F47B1"/>
    <w:rsid w:val="5BC5457D"/>
    <w:rsid w:val="5CCC0333"/>
    <w:rsid w:val="5F416CA7"/>
    <w:rsid w:val="6814179D"/>
    <w:rsid w:val="6AC226A1"/>
    <w:rsid w:val="6DA407AD"/>
    <w:rsid w:val="6E8C2EF7"/>
    <w:rsid w:val="73D40ED8"/>
    <w:rsid w:val="751D338E"/>
    <w:rsid w:val="79B46D89"/>
    <w:rsid w:val="7A851096"/>
    <w:rsid w:val="7B234065"/>
    <w:rsid w:val="7EF27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9"/>
    <w:pPr>
      <w:keepNext/>
      <w:keepLines/>
      <w:spacing w:before="340" w:after="330" w:line="576" w:lineRule="auto"/>
      <w:outlineLvl w:val="0"/>
    </w:pPr>
    <w:rPr>
      <w:rFonts w:ascii="Times New Roman" w:hAnsi="Times New Roman"/>
      <w:b/>
      <w:bCs/>
      <w:kern w:val="44"/>
      <w:sz w:val="44"/>
      <w:szCs w:val="44"/>
    </w:rPr>
  </w:style>
  <w:style w:type="paragraph" w:styleId="4">
    <w:name w:val="heading 2"/>
    <w:basedOn w:val="1"/>
    <w:next w:val="1"/>
    <w:qFormat/>
    <w:uiPriority w:val="99"/>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48"/>
    <w:qFormat/>
    <w:uiPriority w:val="99"/>
    <w:pPr>
      <w:keepNext/>
      <w:keepLines/>
      <w:spacing w:before="260" w:after="260" w:line="415" w:lineRule="auto"/>
      <w:outlineLvl w:val="2"/>
    </w:pPr>
    <w:rPr>
      <w:rFonts w:ascii="Times New Roman" w:hAnsi="Times New Roman"/>
      <w:b/>
      <w:bCs/>
      <w:kern w:val="0"/>
      <w:sz w:val="32"/>
      <w:szCs w:val="32"/>
    </w:rPr>
  </w:style>
  <w:style w:type="paragraph" w:styleId="6">
    <w:name w:val="heading 4"/>
    <w:basedOn w:val="1"/>
    <w:next w:val="1"/>
    <w:qFormat/>
    <w:uiPriority w:val="99"/>
    <w:pPr>
      <w:keepNext/>
      <w:keepLines/>
      <w:spacing w:before="280" w:after="290" w:line="374"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index 8"/>
    <w:basedOn w:val="1"/>
    <w:next w:val="1"/>
    <w:qFormat/>
    <w:uiPriority w:val="0"/>
    <w:pPr>
      <w:ind w:left="2940"/>
    </w:pPr>
  </w:style>
  <w:style w:type="paragraph" w:styleId="8">
    <w:name w:val="Body Text"/>
    <w:basedOn w:val="1"/>
    <w:unhideWhenUsed/>
    <w:qFormat/>
    <w:uiPriority w:val="99"/>
    <w:pPr>
      <w:spacing w:after="120"/>
    </w:pPr>
  </w:style>
  <w:style w:type="paragraph" w:styleId="9">
    <w:name w:val="Body Text Indent"/>
    <w:basedOn w:val="1"/>
    <w:unhideWhenUsed/>
    <w:qFormat/>
    <w:uiPriority w:val="0"/>
    <w:pPr>
      <w:spacing w:after="120"/>
      <w:ind w:left="420" w:leftChars="200"/>
    </w:pPr>
  </w:style>
  <w:style w:type="paragraph" w:styleId="10">
    <w:name w:val="Plain Text"/>
    <w:basedOn w:val="1"/>
    <w:qFormat/>
    <w:uiPriority w:val="0"/>
    <w:rPr>
      <w:rFonts w:ascii="宋体" w:hAnsi="Courier New"/>
      <w:szCs w:val="20"/>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14">
    <w:name w:val="Normal (Web)"/>
    <w:basedOn w:val="1"/>
    <w:qFormat/>
    <w:uiPriority w:val="0"/>
    <w:pPr>
      <w:jc w:val="left"/>
    </w:pPr>
    <w:rPr>
      <w:kern w:val="0"/>
      <w:sz w:val="24"/>
    </w:rPr>
  </w:style>
  <w:style w:type="paragraph" w:styleId="15">
    <w:name w:val="Body Text First Indent"/>
    <w:basedOn w:val="8"/>
    <w:unhideWhenUsed/>
    <w:qFormat/>
    <w:uiPriority w:val="0"/>
    <w:pPr>
      <w:ind w:firstLine="420" w:firstLineChars="100"/>
    </w:pPr>
    <w:rPr>
      <w:color w:val="000000"/>
      <w:sz w:val="28"/>
    </w:rPr>
  </w:style>
  <w:style w:type="paragraph" w:styleId="16">
    <w:name w:val="Body Text First Indent 2"/>
    <w:basedOn w:val="9"/>
    <w:qFormat/>
    <w:uiPriority w:val="99"/>
    <w:pPr>
      <w:ind w:firstLine="420" w:firstLineChars="200"/>
    </w:pPr>
  </w:style>
  <w:style w:type="table" w:styleId="18">
    <w:name w:val="Table Grid"/>
    <w:basedOn w:val="17"/>
    <w:unhideWhenUsed/>
    <w:qFormat/>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rFonts w:ascii="Times New Roman" w:hAnsi="Times New Roman" w:eastAsia="宋体" w:cs="Times New Roman"/>
      <w:b/>
    </w:rPr>
  </w:style>
  <w:style w:type="character" w:styleId="21">
    <w:name w:val="page number"/>
    <w:qFormat/>
    <w:uiPriority w:val="0"/>
    <w:rPr>
      <w:rFonts w:ascii="Times New Roman" w:hAnsi="Times New Roman" w:eastAsia="宋体" w:cs="Times New Roman"/>
    </w:rPr>
  </w:style>
  <w:style w:type="character" w:styleId="22">
    <w:name w:val="FollowedHyperlink"/>
    <w:basedOn w:val="19"/>
    <w:qFormat/>
    <w:uiPriority w:val="0"/>
    <w:rPr>
      <w:rFonts w:ascii="Times New Roman" w:hAnsi="Times New Roman" w:eastAsia="宋体" w:cs="Times New Roman"/>
      <w:color w:val="333333"/>
      <w:u w:val="none"/>
    </w:rPr>
  </w:style>
  <w:style w:type="character" w:styleId="23">
    <w:name w:val="Emphasis"/>
    <w:basedOn w:val="19"/>
    <w:qFormat/>
    <w:uiPriority w:val="0"/>
  </w:style>
  <w:style w:type="character" w:styleId="24">
    <w:name w:val="HTML Definition"/>
    <w:basedOn w:val="19"/>
    <w:qFormat/>
    <w:uiPriority w:val="0"/>
    <w:rPr>
      <w:rFonts w:ascii="Times New Roman" w:hAnsi="Times New Roman" w:eastAsia="宋体" w:cs="Times New Roman"/>
      <w:i/>
    </w:rPr>
  </w:style>
  <w:style w:type="character" w:styleId="25">
    <w:name w:val="Hyperlink"/>
    <w:basedOn w:val="19"/>
    <w:qFormat/>
    <w:uiPriority w:val="0"/>
    <w:rPr>
      <w:rFonts w:ascii="Times New Roman" w:hAnsi="Times New Roman" w:eastAsia="宋体" w:cs="Times New Roman"/>
      <w:color w:val="333333"/>
      <w:u w:val="none"/>
    </w:rPr>
  </w:style>
  <w:style w:type="character" w:styleId="26">
    <w:name w:val="HTML Code"/>
    <w:basedOn w:val="19"/>
    <w:qFormat/>
    <w:uiPriority w:val="0"/>
    <w:rPr>
      <w:rFonts w:hint="default" w:ascii="monospace" w:hAnsi="monospace" w:eastAsia="monospace" w:cs="monospace"/>
      <w:color w:val="C7254E"/>
      <w:sz w:val="21"/>
      <w:szCs w:val="21"/>
      <w:shd w:val="clear" w:color="auto" w:fill="F9F2F4"/>
    </w:rPr>
  </w:style>
  <w:style w:type="character" w:styleId="27">
    <w:name w:val="HTML Keyboard"/>
    <w:basedOn w:val="19"/>
    <w:qFormat/>
    <w:uiPriority w:val="0"/>
    <w:rPr>
      <w:rFonts w:hint="default" w:ascii="monospace" w:hAnsi="monospace" w:eastAsia="monospace" w:cs="monospace"/>
      <w:color w:val="FFFFFF"/>
      <w:sz w:val="21"/>
      <w:szCs w:val="21"/>
      <w:shd w:val="clear" w:color="auto" w:fill="333333"/>
    </w:rPr>
  </w:style>
  <w:style w:type="character" w:styleId="28">
    <w:name w:val="HTML Sample"/>
    <w:basedOn w:val="19"/>
    <w:qFormat/>
    <w:uiPriority w:val="0"/>
    <w:rPr>
      <w:rFonts w:ascii="monospace" w:hAnsi="monospace" w:eastAsia="monospace" w:cs="monospace"/>
      <w:sz w:val="21"/>
      <w:szCs w:val="21"/>
    </w:rPr>
  </w:style>
  <w:style w:type="character" w:customStyle="1" w:styleId="29">
    <w:name w:val="标题 3 Char"/>
    <w:link w:val="5"/>
    <w:qFormat/>
    <w:uiPriority w:val="99"/>
    <w:rPr>
      <w:rFonts w:ascii="Times New Roman" w:hAnsi="Times New Roman" w:eastAsia="宋体" w:cs="Times New Roman"/>
      <w:b/>
      <w:bCs/>
      <w:sz w:val="32"/>
      <w:szCs w:val="32"/>
    </w:rPr>
  </w:style>
  <w:style w:type="character" w:customStyle="1" w:styleId="30">
    <w:name w:val="NormalCharacter"/>
    <w:semiHidden/>
    <w:qFormat/>
    <w:uiPriority w:val="99"/>
    <w:rPr>
      <w:rFonts w:ascii="Times New Roman" w:hAnsi="Times New Roman" w:eastAsia="宋体" w:cs="Times New Roman"/>
    </w:rPr>
  </w:style>
  <w:style w:type="character" w:customStyle="1" w:styleId="31">
    <w:name w:val="hover11"/>
    <w:basedOn w:val="19"/>
    <w:qFormat/>
    <w:uiPriority w:val="0"/>
    <w:rPr>
      <w:rFonts w:ascii="Times New Roman" w:hAnsi="Times New Roman" w:eastAsia="宋体" w:cs="Times New Roman"/>
    </w:rPr>
  </w:style>
  <w:style w:type="character" w:customStyle="1" w:styleId="32">
    <w:name w:val="样式2 Char"/>
    <w:link w:val="33"/>
    <w:qFormat/>
    <w:locked/>
    <w:uiPriority w:val="0"/>
    <w:rPr>
      <w:rFonts w:ascii="Times New Roman" w:hAnsi="Times New Roman" w:eastAsia="黑体"/>
      <w:b/>
      <w:kern w:val="2"/>
      <w:sz w:val="44"/>
      <w:szCs w:val="44"/>
    </w:rPr>
  </w:style>
  <w:style w:type="paragraph" w:customStyle="1" w:styleId="33">
    <w:name w:val="样式2"/>
    <w:basedOn w:val="1"/>
    <w:link w:val="32"/>
    <w:qFormat/>
    <w:uiPriority w:val="0"/>
    <w:pPr>
      <w:spacing w:beforeLines="50" w:line="360" w:lineRule="auto"/>
      <w:jc w:val="center"/>
      <w:outlineLvl w:val="0"/>
    </w:pPr>
    <w:rPr>
      <w:rFonts w:ascii="Times New Roman" w:hAnsi="Times New Roman" w:eastAsia="黑体"/>
      <w:b/>
      <w:sz w:val="44"/>
      <w:szCs w:val="44"/>
    </w:rPr>
  </w:style>
  <w:style w:type="character" w:customStyle="1" w:styleId="34">
    <w:name w:val="cur"/>
    <w:basedOn w:val="19"/>
    <w:qFormat/>
    <w:uiPriority w:val="0"/>
    <w:rPr>
      <w:rFonts w:ascii="Times New Roman" w:hAnsi="Times New Roman" w:eastAsia="宋体" w:cs="Times New Roman"/>
      <w:shd w:val="clear" w:color="auto" w:fill="FF0000"/>
    </w:rPr>
  </w:style>
  <w:style w:type="character" w:customStyle="1" w:styleId="35">
    <w:name w:val="tlisttime"/>
    <w:basedOn w:val="19"/>
    <w:qFormat/>
    <w:uiPriority w:val="0"/>
    <w:rPr>
      <w:rFonts w:ascii="Times New Roman" w:hAnsi="Times New Roman" w:eastAsia="宋体" w:cs="Times New Roman"/>
      <w:color w:val="999999"/>
    </w:rPr>
  </w:style>
  <w:style w:type="paragraph" w:customStyle="1" w:styleId="36">
    <w:name w:val="三级"/>
    <w:basedOn w:val="37"/>
    <w:qFormat/>
    <w:uiPriority w:val="0"/>
    <w:pPr>
      <w:tabs>
        <w:tab w:val="left" w:pos="851"/>
      </w:tabs>
    </w:pPr>
    <w:rPr>
      <w:b w:val="0"/>
      <w:bCs w:val="0"/>
    </w:rPr>
  </w:style>
  <w:style w:type="paragraph" w:customStyle="1" w:styleId="37">
    <w:name w:val="A标题4"/>
    <w:basedOn w:val="6"/>
    <w:next w:val="1"/>
    <w:qFormat/>
    <w:uiPriority w:val="0"/>
    <w:pPr>
      <w:keepNext w:val="0"/>
      <w:keepLines w:val="0"/>
      <w:tabs>
        <w:tab w:val="left" w:pos="851"/>
      </w:tabs>
      <w:spacing w:before="0" w:after="80" w:line="360" w:lineRule="auto"/>
      <w:ind w:left="851" w:hanging="851"/>
    </w:pPr>
    <w:rPr>
      <w:sz w:val="24"/>
    </w:rPr>
  </w:style>
  <w:style w:type="paragraph" w:customStyle="1" w:styleId="38">
    <w:name w:val="标题1 Char Char Char"/>
    <w:basedOn w:val="3"/>
    <w:qFormat/>
    <w:uiPriority w:val="0"/>
    <w:pPr>
      <w:tabs>
        <w:tab w:val="center" w:pos="4512"/>
        <w:tab w:val="center" w:pos="4606"/>
      </w:tabs>
      <w:adjustRightInd w:val="0"/>
      <w:snapToGrid w:val="0"/>
      <w:spacing w:beforeLines="50" w:after="240"/>
      <w:jc w:val="center"/>
      <w:outlineLvl w:val="1"/>
    </w:pPr>
    <w:rPr>
      <w:rFonts w:ascii="Calibri" w:hAnsi="Calibri"/>
      <w:bCs w:val="0"/>
      <w:sz w:val="28"/>
      <w:szCs w:val="20"/>
    </w:rPr>
  </w:style>
  <w:style w:type="paragraph" w:customStyle="1" w:styleId="39">
    <w:name w:val="一级"/>
    <w:basedOn w:val="33"/>
    <w:qFormat/>
    <w:uiPriority w:val="0"/>
    <w:rPr>
      <w:b w:val="0"/>
      <w:sz w:val="32"/>
      <w:szCs w:val="32"/>
    </w:rPr>
  </w:style>
  <w:style w:type="paragraph" w:customStyle="1" w:styleId="40">
    <w:name w:val="样式 标题 2 + Times New Roman 四号 非加粗 段前: 5 磅 段后: 0 磅 行距: 固定值 20..."/>
    <w:basedOn w:val="4"/>
    <w:qFormat/>
    <w:uiPriority w:val="99"/>
    <w:pPr>
      <w:spacing w:before="100" w:after="0" w:line="400" w:lineRule="exact"/>
    </w:pPr>
    <w:rPr>
      <w:rFonts w:ascii="Times New Roman" w:hAnsi="Times New Roman"/>
      <w:b w:val="0"/>
      <w:bCs w:val="0"/>
      <w:sz w:val="20"/>
      <w:szCs w:val="20"/>
    </w:rPr>
  </w:style>
  <w:style w:type="paragraph" w:customStyle="1" w:styleId="41">
    <w:name w:val="列表段落1"/>
    <w:basedOn w:val="1"/>
    <w:qFormat/>
    <w:uiPriority w:val="99"/>
    <w:pPr>
      <w:ind w:firstLine="420" w:firstLineChars="200"/>
    </w:pPr>
  </w:style>
  <w:style w:type="paragraph" w:customStyle="1" w:styleId="42">
    <w:name w:val="二级"/>
    <w:basedOn w:val="37"/>
    <w:qFormat/>
    <w:uiPriority w:val="0"/>
    <w:pPr>
      <w:jc w:val="center"/>
    </w:pPr>
    <w:rPr>
      <w:b w:val="0"/>
      <w:bCs w:val="0"/>
      <w:sz w:val="28"/>
    </w:rPr>
  </w:style>
  <w:style w:type="paragraph" w:customStyle="1" w:styleId="4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p0"/>
    <w:basedOn w:val="1"/>
    <w:qFormat/>
    <w:uiPriority w:val="99"/>
    <w:rPr>
      <w:rFonts w:ascii="Times New Roman" w:hAnsi="Times New Roman"/>
      <w:szCs w:val="21"/>
    </w:rPr>
  </w:style>
  <w:style w:type="paragraph" w:customStyle="1" w:styleId="45">
    <w:name w:val="样式 样式 样式 样式 小四 左 首行缩进:  2 字符 + 首行缩进:  2 字符 Char + 右  0 字符1 + 首行缩...3"/>
    <w:basedOn w:val="1"/>
    <w:qFormat/>
    <w:uiPriority w:val="0"/>
    <w:pPr>
      <w:adjustRightInd w:val="0"/>
      <w:spacing w:line="360" w:lineRule="auto"/>
      <w:ind w:firstLine="480" w:firstLineChars="200"/>
      <w:jc w:val="left"/>
      <w:textAlignment w:val="baseline"/>
    </w:pPr>
    <w:rPr>
      <w:rFonts w:cs="宋体"/>
      <w:sz w:val="24"/>
      <w:szCs w:val="20"/>
    </w:rPr>
  </w:style>
  <w:style w:type="paragraph" w:customStyle="1" w:styleId="46">
    <w:name w:val="样式1"/>
    <w:basedOn w:val="1"/>
    <w:next w:val="6"/>
    <w:qFormat/>
    <w:uiPriority w:val="0"/>
    <w:pPr>
      <w:kinsoku w:val="0"/>
      <w:autoSpaceDE w:val="0"/>
      <w:autoSpaceDN w:val="0"/>
      <w:adjustRightInd w:val="0"/>
      <w:snapToGrid w:val="0"/>
      <w:spacing w:line="360" w:lineRule="auto"/>
      <w:ind w:firstLine="420" w:firstLineChars="200"/>
      <w:textAlignment w:val="baseline"/>
    </w:pPr>
    <w:rPr>
      <w:rFonts w:ascii="Arial" w:hAnsi="Arial" w:eastAsia="Arial"/>
      <w:snapToGrid w:val="0"/>
      <w:color w:val="000000"/>
      <w:szCs w:val="21"/>
      <w:lang w:eastAsia="en-US"/>
    </w:rPr>
  </w:style>
  <w:style w:type="paragraph" w:customStyle="1" w:styleId="47">
    <w:name w:val="正文1"/>
    <w:basedOn w:val="1"/>
    <w:qFormat/>
    <w:uiPriority w:val="0"/>
    <w:pPr>
      <w:kinsoku w:val="0"/>
      <w:autoSpaceDE w:val="0"/>
      <w:autoSpaceDN w:val="0"/>
      <w:adjustRightInd w:val="0"/>
      <w:snapToGrid w:val="0"/>
      <w:textAlignment w:val="baseline"/>
    </w:pPr>
    <w:rPr>
      <w:rFonts w:ascii="Times New Roman" w:hAnsi="Times New Roman" w:eastAsia="Arial"/>
      <w:snapToGrid w:val="0"/>
      <w:color w:val="000000"/>
      <w:kern w:val="0"/>
      <w:sz w:val="20"/>
      <w:szCs w:val="20"/>
      <w:lang w:eastAsia="en-US"/>
    </w:rPr>
  </w:style>
  <w:style w:type="character" w:customStyle="1" w:styleId="48">
    <w:name w:val="标题 3 字符1"/>
    <w:link w:val="5"/>
    <w:qFormat/>
    <w:uiPriority w:val="0"/>
    <w:rPr>
      <w:rFonts w:ascii="宋体" w:hAnsi="宋体" w:eastAsia="宋体" w:cs="宋体"/>
      <w:b/>
      <w:bCs/>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16152</Words>
  <Characters>17287</Characters>
  <Lines>129</Lines>
  <Paragraphs>36</Paragraphs>
  <TotalTime>39</TotalTime>
  <ScaleCrop>false</ScaleCrop>
  <LinksUpToDate>false</LinksUpToDate>
  <CharactersWithSpaces>18735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2025-06-27T06:54:00Z</dcterms:created>
  <dc:creator>小美</dc:creator>
  <cp:lastModifiedBy>Lione</cp:lastModifiedBy>
  <cp:lastPrinted>2020-09-25T06:12:00Z</cp:lastPrinted>
  <dcterms:modified xsi:type="dcterms:W3CDTF">2026-03-04T12:10:39Z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C1D2998A4DD347DBB62A91F0DAC5161E_13</vt:lpwstr>
  </property>
  <property fmtid="{D5CDD505-2E9C-101B-9397-08002B2CF9AE}" pid="4" name="KSOTemplateDocerSaveRecord">
    <vt:lpwstr>eyJoZGlkIjoiMjAxNjliY2VhZTRhYmZmZTg3NjAzODU0M2ExYWM5NWMiLCJ1c2VySWQiOiIyNjQ1NzY5ODUifQ==</vt:lpwstr>
  </property>
</Properties>
</file>